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D6" w:rsidRPr="007828D6" w:rsidRDefault="0017731D" w:rsidP="007828D6">
      <w:pPr>
        <w:jc w:val="right"/>
        <w:rPr>
          <w:b/>
          <w:lang w:val="sr-Cyrl-CS"/>
        </w:rPr>
      </w:pPr>
      <w:r w:rsidRPr="007828D6">
        <w:rPr>
          <w:b/>
        </w:rPr>
        <w:t xml:space="preserve">            </w:t>
      </w:r>
      <w:r w:rsidRPr="007828D6">
        <w:rPr>
          <w:b/>
          <w:lang w:val="sr-Cyrl-CS"/>
        </w:rPr>
        <w:t xml:space="preserve"> </w:t>
      </w:r>
      <w:r w:rsidR="007828D6" w:rsidRPr="007828D6">
        <w:rPr>
          <w:b/>
          <w:lang w:val="sr-Cyrl-CS"/>
        </w:rPr>
        <w:t>НАЦРТ</w:t>
      </w:r>
      <w:r w:rsidRPr="007828D6">
        <w:rPr>
          <w:b/>
          <w:lang w:val="sr-Cyrl-CS"/>
        </w:rPr>
        <w:t xml:space="preserve">     </w:t>
      </w:r>
    </w:p>
    <w:p w:rsidR="0017731D" w:rsidRPr="0017731D" w:rsidRDefault="0017731D" w:rsidP="00172B4E">
      <w:pPr>
        <w:ind w:firstLine="720"/>
        <w:jc w:val="both"/>
        <w:rPr>
          <w:lang w:val="sr-Cyrl-CS"/>
        </w:rPr>
      </w:pPr>
      <w:r w:rsidRPr="0017731D">
        <w:rPr>
          <w:lang w:val="sr-Cyrl-CS"/>
        </w:rPr>
        <w:t xml:space="preserve"> На основу члана </w:t>
      </w:r>
      <w:r w:rsidRPr="0017731D">
        <w:t>6</w:t>
      </w:r>
      <w:r w:rsidRPr="0017731D">
        <w:rPr>
          <w:lang w:val="sr-Cyrl-CS"/>
        </w:rPr>
        <w:t>.став 1.тачка 3.и члана 11. - 18. Закона о финансирању локалне самоуправе («Службени гласник РС» бр.62/06, 47/011, 93/12 , 99/13, 125/14, 95/15, 83/16, 91/16, 104/16, 96/17 89/18)</w:t>
      </w:r>
      <w:r w:rsidRPr="0017731D">
        <w:t>,</w:t>
      </w:r>
      <w:r w:rsidRPr="0017731D">
        <w:rPr>
          <w:lang w:val="sr-Cyrl-CS"/>
        </w:rPr>
        <w:t xml:space="preserve"> члана 32.став1.тачка 13. Закона о локалној самоуправи („Службени гласник РС“ број 129/07, 83/14) и члана.41. Статута Општине  Куршумлија («Службени лист Општине Куршумлија  » бр.22/08,0</w:t>
      </w:r>
      <w:r w:rsidRPr="0017731D">
        <w:t xml:space="preserve">8/09, 07/11, 15/14, 25/15, </w:t>
      </w:r>
      <w:r w:rsidRPr="0017731D">
        <w:rPr>
          <w:lang w:val="sr-Cyrl-CS"/>
        </w:rPr>
        <w:t>05/18),  на предлог Општинског већа</w:t>
      </w:r>
      <w:r w:rsidR="00172B4E">
        <w:rPr>
          <w:lang w:val="sr-Cyrl-CS"/>
        </w:rPr>
        <w:t>,</w:t>
      </w:r>
      <w:r w:rsidRPr="0017731D">
        <w:rPr>
          <w:lang w:val="sr-Cyrl-CS"/>
        </w:rPr>
        <w:t xml:space="preserve"> Скупштина општине Куршумлија на седници одржаној дана </w:t>
      </w:r>
      <w:r w:rsidRPr="0017731D">
        <w:t>__________</w:t>
      </w:r>
      <w:r w:rsidRPr="0017731D">
        <w:rPr>
          <w:lang w:val="sr-Cyrl-CS"/>
        </w:rPr>
        <w:t xml:space="preserve"> године, донела је</w:t>
      </w:r>
    </w:p>
    <w:p w:rsidR="002C48CD" w:rsidRDefault="002C48CD" w:rsidP="00AA4067">
      <w:pPr>
        <w:jc w:val="center"/>
        <w:rPr>
          <w:lang w:val="sr-Cyrl-RS"/>
        </w:rPr>
      </w:pPr>
    </w:p>
    <w:p w:rsidR="0017731D" w:rsidRPr="0017731D" w:rsidRDefault="0017731D" w:rsidP="00AA4067">
      <w:pPr>
        <w:jc w:val="center"/>
        <w:rPr>
          <w:b/>
        </w:rPr>
      </w:pPr>
      <w:r w:rsidRPr="0017731D">
        <w:rPr>
          <w:b/>
          <w:lang w:val="sr-Cyrl-CS"/>
        </w:rPr>
        <w:t>О Д Л У К</w:t>
      </w:r>
      <w:r w:rsidRPr="0017731D">
        <w:rPr>
          <w:b/>
        </w:rPr>
        <w:t xml:space="preserve"> У</w:t>
      </w:r>
    </w:p>
    <w:p w:rsidR="0017731D" w:rsidRPr="00172B4E" w:rsidRDefault="0017731D" w:rsidP="00AA4067">
      <w:pPr>
        <w:jc w:val="center"/>
        <w:rPr>
          <w:b/>
          <w:lang w:val="sr-Cyrl-RS"/>
        </w:rPr>
      </w:pPr>
      <w:r w:rsidRPr="0017731D">
        <w:rPr>
          <w:b/>
          <w:lang w:val="sr-Cyrl-CS"/>
        </w:rPr>
        <w:t>О ЛОК</w:t>
      </w:r>
      <w:r w:rsidR="00E746C4">
        <w:rPr>
          <w:b/>
          <w:lang w:val="sr-Cyrl-CS"/>
        </w:rPr>
        <w:t xml:space="preserve">АЛНИМ КОМУНАЛНИМ ТАКСАМА </w:t>
      </w:r>
      <w:r w:rsidR="003B4C93">
        <w:rPr>
          <w:b/>
          <w:lang w:val="sr-Cyrl-CS"/>
        </w:rPr>
        <w:t>ЗА 2020. ГОДИНУ</w:t>
      </w:r>
    </w:p>
    <w:p w:rsidR="0017731D" w:rsidRPr="0017731D" w:rsidRDefault="0017731D" w:rsidP="0017731D">
      <w:pPr>
        <w:rPr>
          <w:b/>
          <w:lang w:val="sr-Cyrl-CS"/>
        </w:rPr>
      </w:pPr>
      <w:bookmarkStart w:id="0" w:name="_GoBack"/>
      <w:bookmarkEnd w:id="0"/>
    </w:p>
    <w:p w:rsidR="0017731D" w:rsidRPr="0017731D" w:rsidRDefault="0017731D" w:rsidP="0017731D">
      <w:pPr>
        <w:rPr>
          <w:b/>
        </w:rPr>
      </w:pPr>
      <w:r w:rsidRPr="0017731D">
        <w:rPr>
          <w:b/>
          <w:lang w:val="sr-Cyrl-CS"/>
        </w:rPr>
        <w:t xml:space="preserve">                                                   </w:t>
      </w:r>
      <w:r w:rsidRPr="0017731D">
        <w:rPr>
          <w:b/>
        </w:rPr>
        <w:t xml:space="preserve">                                    </w:t>
      </w:r>
      <w:r w:rsidRPr="0017731D">
        <w:rPr>
          <w:b/>
          <w:lang w:val="sr-Cyrl-CS"/>
        </w:rPr>
        <w:t>Члан  1</w:t>
      </w:r>
    </w:p>
    <w:p w:rsidR="0017731D" w:rsidRPr="0017731D" w:rsidRDefault="0017731D" w:rsidP="00AA4067">
      <w:pPr>
        <w:jc w:val="both"/>
        <w:rPr>
          <w:lang w:val="sr-Cyrl-CS"/>
        </w:rPr>
      </w:pPr>
      <w:r w:rsidRPr="0017731D">
        <w:rPr>
          <w:lang w:val="sr-Cyrl-CS"/>
        </w:rPr>
        <w:t xml:space="preserve">                Овом одлуком уводе се локалне комуналне таксе на територији општине Куршумлија  и утврђују се обвезници, висина, олакшице, рокови и начин плаћања локалне комуналне таксе.</w:t>
      </w:r>
    </w:p>
    <w:p w:rsidR="0017731D" w:rsidRPr="0017731D" w:rsidRDefault="0017731D" w:rsidP="00AA4067">
      <w:pPr>
        <w:jc w:val="center"/>
      </w:pPr>
      <w:r w:rsidRPr="0017731D">
        <w:rPr>
          <w:b/>
          <w:lang w:val="sr-Cyrl-CS"/>
        </w:rPr>
        <w:t>Члан  2.</w:t>
      </w:r>
    </w:p>
    <w:p w:rsidR="0017731D" w:rsidRPr="0017731D" w:rsidRDefault="0017731D" w:rsidP="00AA4067">
      <w:pPr>
        <w:jc w:val="both"/>
        <w:rPr>
          <w:lang w:val="sr-Cyrl-CS"/>
        </w:rPr>
      </w:pPr>
      <w:r w:rsidRPr="0017731D">
        <w:rPr>
          <w:lang w:val="sr-Cyrl-CS"/>
        </w:rPr>
        <w:t xml:space="preserve">               Обвезник локалне комуналне таксе јесте корисник права, предмета и услуга за чије је коришћење прописано плаћање локалне комуналне таксе.</w:t>
      </w:r>
    </w:p>
    <w:p w:rsidR="0017731D" w:rsidRPr="0017731D" w:rsidRDefault="0017731D" w:rsidP="00AA4067">
      <w:pPr>
        <w:jc w:val="center"/>
        <w:rPr>
          <w:b/>
        </w:rPr>
      </w:pPr>
      <w:r w:rsidRPr="0017731D">
        <w:rPr>
          <w:b/>
          <w:lang w:val="sr-Cyrl-CS"/>
        </w:rPr>
        <w:t>Члан  3.</w:t>
      </w:r>
    </w:p>
    <w:p w:rsidR="0017731D" w:rsidRPr="0017731D" w:rsidRDefault="0017731D" w:rsidP="00AA4067">
      <w:pPr>
        <w:jc w:val="both"/>
      </w:pPr>
      <w:r w:rsidRPr="0017731D">
        <w:rPr>
          <w:lang w:val="sr-Cyrl-CS"/>
        </w:rPr>
        <w:t xml:space="preserve">               Таксена обавеза настаје даном почетка коришћења права, предмета</w:t>
      </w:r>
      <w:r w:rsidRPr="0017731D">
        <w:t xml:space="preserve"> </w:t>
      </w:r>
      <w:r w:rsidRPr="0017731D">
        <w:rPr>
          <w:lang w:val="sr-Cyrl-CS"/>
        </w:rPr>
        <w:t>или услуге за чије је коришћење прописано плаћање локалне комуналне таксе и траје док траје коришћење права, предмета или услуге.</w:t>
      </w:r>
    </w:p>
    <w:p w:rsidR="0017731D" w:rsidRPr="0017731D" w:rsidRDefault="00AA4067" w:rsidP="00AA4067">
      <w:pPr>
        <w:rPr>
          <w:b/>
        </w:rPr>
      </w:pPr>
      <w:r>
        <w:rPr>
          <w:b/>
          <w:lang w:val="sr-Cyrl-CS"/>
        </w:rPr>
        <w:t xml:space="preserve">                                                                                       </w:t>
      </w:r>
      <w:r w:rsidR="0017731D" w:rsidRPr="0017731D">
        <w:rPr>
          <w:b/>
          <w:lang w:val="sr-Cyrl-CS"/>
        </w:rPr>
        <w:t>Члан  4.</w:t>
      </w:r>
    </w:p>
    <w:p w:rsidR="0017731D" w:rsidRPr="0017731D" w:rsidRDefault="0017731D" w:rsidP="00AA4067">
      <w:pPr>
        <w:jc w:val="both"/>
        <w:rPr>
          <w:lang w:val="sr-Cyrl-CS"/>
        </w:rPr>
      </w:pPr>
      <w:r w:rsidRPr="0017731D">
        <w:rPr>
          <w:lang w:val="sr-Cyrl-CS"/>
        </w:rPr>
        <w:t xml:space="preserve">               Обвезник локалне комуналне таксе је дужан да пре коришћења права, предмета или услуга, за чије је коришћење прописано плаћање локалне комуналне таксе, изврши пријаву постојања основа за плаћање локалне комуналне таксе Општинској управи – Одељењу за</w:t>
      </w:r>
      <w:r w:rsidRPr="0017731D">
        <w:t xml:space="preserve"> </w:t>
      </w:r>
      <w:r w:rsidRPr="0017731D">
        <w:rPr>
          <w:lang w:val="sr-Cyrl-CS"/>
        </w:rPr>
        <w:t>локалну пореску администрацију,буџет и фина</w:t>
      </w:r>
      <w:r w:rsidRPr="0017731D">
        <w:t>н</w:t>
      </w:r>
      <w:r w:rsidRPr="0017731D">
        <w:rPr>
          <w:lang w:val="sr-Cyrl-CS"/>
        </w:rPr>
        <w:t>сије.</w:t>
      </w:r>
    </w:p>
    <w:p w:rsidR="0017731D" w:rsidRPr="0017731D" w:rsidRDefault="0017731D" w:rsidP="00AA4067">
      <w:pPr>
        <w:jc w:val="center"/>
        <w:rPr>
          <w:b/>
        </w:rPr>
      </w:pPr>
      <w:r w:rsidRPr="0017731D">
        <w:rPr>
          <w:b/>
          <w:lang w:val="sr-Cyrl-CS"/>
        </w:rPr>
        <w:t>Члан 5.</w:t>
      </w:r>
    </w:p>
    <w:p w:rsidR="0017731D" w:rsidRPr="0017731D" w:rsidRDefault="0017731D" w:rsidP="00AA4067">
      <w:pPr>
        <w:jc w:val="both"/>
        <w:rPr>
          <w:lang w:val="sr-Cyrl-CS"/>
        </w:rPr>
      </w:pPr>
      <w:r w:rsidRPr="0017731D">
        <w:rPr>
          <w:lang w:val="sr-Cyrl-CS"/>
        </w:rPr>
        <w:t xml:space="preserve">               Ако обвезник локалне комуналне таксе не поднесе пријаву за коришћење права,предмета или услуга ,таксена обавеза утврдиће се на основу података којима располаже надлежно Одељење или путем инспекцијског надзора.</w:t>
      </w:r>
    </w:p>
    <w:p w:rsidR="0017731D" w:rsidRDefault="0017731D" w:rsidP="0017731D">
      <w:pPr>
        <w:rPr>
          <w:lang w:val="sr-Cyrl-CS"/>
        </w:rPr>
      </w:pPr>
    </w:p>
    <w:p w:rsidR="00AA4067" w:rsidRPr="0017731D" w:rsidRDefault="00AA4067" w:rsidP="0017731D">
      <w:pPr>
        <w:rPr>
          <w:lang w:val="sr-Cyrl-CS"/>
        </w:rPr>
      </w:pPr>
    </w:p>
    <w:p w:rsidR="0017731D" w:rsidRPr="0017731D" w:rsidRDefault="0017731D" w:rsidP="00AA4067">
      <w:pPr>
        <w:jc w:val="center"/>
        <w:rPr>
          <w:b/>
          <w:lang w:val="sr-Cyrl-CS"/>
        </w:rPr>
      </w:pPr>
      <w:r w:rsidRPr="0017731D">
        <w:rPr>
          <w:b/>
          <w:lang w:val="sr-Cyrl-CS"/>
        </w:rPr>
        <w:lastRenderedPageBreak/>
        <w:t>Члан 6.</w:t>
      </w:r>
    </w:p>
    <w:p w:rsidR="0017731D" w:rsidRPr="0017731D" w:rsidRDefault="0017731D" w:rsidP="00AA4067">
      <w:pPr>
        <w:jc w:val="both"/>
        <w:rPr>
          <w:lang w:val="sr-Cyrl-CS"/>
        </w:rPr>
      </w:pPr>
      <w:r w:rsidRPr="0017731D">
        <w:rPr>
          <w:lang w:val="sr-Cyrl-CS"/>
        </w:rPr>
        <w:t xml:space="preserve">                Обвезник локалне комуналне таксе за истицање фирме на пословном простору дужан је да поднесе пријаву у року од 10 дана од дана почетка коришћења.</w:t>
      </w:r>
    </w:p>
    <w:p w:rsidR="0017731D" w:rsidRPr="0017731D" w:rsidRDefault="0017731D" w:rsidP="00AA4067">
      <w:pPr>
        <w:jc w:val="both"/>
      </w:pPr>
      <w:r w:rsidRPr="0017731D">
        <w:rPr>
          <w:lang w:val="sr-Cyrl-CS"/>
        </w:rPr>
        <w:t xml:space="preserve">               Обвезник је дужан да сваку промену (трајне или привремене одјаве делатности,промене делатности,промене локације објеката,стечаја или ликвидације и сл.) пријави надлежној управи у року од 10 дана од дана настале промене.</w:t>
      </w:r>
    </w:p>
    <w:p w:rsidR="0017731D" w:rsidRPr="0017731D" w:rsidRDefault="0017731D" w:rsidP="00AA4067">
      <w:pPr>
        <w:jc w:val="center"/>
        <w:rPr>
          <w:b/>
        </w:rPr>
      </w:pPr>
      <w:r w:rsidRPr="0017731D">
        <w:rPr>
          <w:b/>
          <w:lang w:val="sr-Cyrl-CS"/>
        </w:rPr>
        <w:t>Члан 7.</w:t>
      </w:r>
    </w:p>
    <w:p w:rsidR="0017731D" w:rsidRPr="0017731D" w:rsidRDefault="0017731D" w:rsidP="0017731D">
      <w:pPr>
        <w:rPr>
          <w:lang w:val="sr-Cyrl-CS"/>
        </w:rPr>
      </w:pPr>
      <w:r w:rsidRPr="0017731D">
        <w:rPr>
          <w:b/>
          <w:lang w:val="sr-Cyrl-CS"/>
        </w:rPr>
        <w:t xml:space="preserve">                 </w:t>
      </w:r>
      <w:r w:rsidRPr="0017731D">
        <w:rPr>
          <w:lang w:val="sr-Cyrl-CS"/>
        </w:rPr>
        <w:t>Ако таксени обвезник доспелу комуналну таксу не плати у прописаном року извршиће с</w:t>
      </w:r>
      <w:r w:rsidR="00AA4067">
        <w:rPr>
          <w:lang w:val="sr-Cyrl-CS"/>
        </w:rPr>
        <w:t>е принудна наплата у складу са З</w:t>
      </w:r>
      <w:r w:rsidRPr="0017731D">
        <w:rPr>
          <w:lang w:val="sr-Cyrl-CS"/>
        </w:rPr>
        <w:t xml:space="preserve">аконом </w:t>
      </w:r>
      <w:r w:rsidRPr="0017731D">
        <w:t xml:space="preserve">o </w:t>
      </w:r>
      <w:proofErr w:type="spellStart"/>
      <w:r w:rsidRPr="0017731D">
        <w:t>пореском</w:t>
      </w:r>
      <w:proofErr w:type="spellEnd"/>
      <w:r w:rsidRPr="0017731D">
        <w:t xml:space="preserve"> </w:t>
      </w:r>
      <w:proofErr w:type="spellStart"/>
      <w:r w:rsidRPr="0017731D">
        <w:t>поступку</w:t>
      </w:r>
      <w:proofErr w:type="spellEnd"/>
      <w:r w:rsidRPr="0017731D">
        <w:t xml:space="preserve"> и </w:t>
      </w:r>
      <w:proofErr w:type="spellStart"/>
      <w:r w:rsidRPr="0017731D">
        <w:t>пореској</w:t>
      </w:r>
      <w:proofErr w:type="spellEnd"/>
      <w:r w:rsidRPr="0017731D">
        <w:t xml:space="preserve"> </w:t>
      </w:r>
      <w:proofErr w:type="spellStart"/>
      <w:r w:rsidRPr="0017731D">
        <w:t>администрацији</w:t>
      </w:r>
      <w:proofErr w:type="spellEnd"/>
      <w:r w:rsidRPr="0017731D">
        <w:rPr>
          <w:lang w:val="sr-Cyrl-CS"/>
        </w:rPr>
        <w:t>.</w:t>
      </w:r>
    </w:p>
    <w:p w:rsidR="0017731D" w:rsidRPr="0017731D" w:rsidRDefault="0017731D" w:rsidP="00E746C4">
      <w:pPr>
        <w:jc w:val="center"/>
        <w:rPr>
          <w:b/>
        </w:rPr>
      </w:pPr>
      <w:r w:rsidRPr="0017731D">
        <w:rPr>
          <w:b/>
          <w:lang w:val="sr-Cyrl-CS"/>
        </w:rPr>
        <w:t>Члан  8.</w:t>
      </w:r>
    </w:p>
    <w:p w:rsidR="0017731D" w:rsidRPr="0017731D" w:rsidRDefault="0017731D" w:rsidP="00E746C4">
      <w:pPr>
        <w:jc w:val="both"/>
      </w:pPr>
      <w:r w:rsidRPr="0017731D">
        <w:rPr>
          <w:b/>
          <w:lang w:val="sr-Cyrl-CS"/>
        </w:rPr>
        <w:t xml:space="preserve">               </w:t>
      </w:r>
      <w:r w:rsidRPr="0017731D">
        <w:rPr>
          <w:lang w:val="sr-Cyrl-CS"/>
        </w:rPr>
        <w:t>Локалне комуналне таксе не плаћају се за коришћење права, предмета и услуга, од стране државних органа и организација, органа и организација територијалне аутономије и јединица локалне самоуправе.</w:t>
      </w:r>
    </w:p>
    <w:p w:rsidR="0017731D" w:rsidRPr="0017731D" w:rsidRDefault="0017731D" w:rsidP="00E746C4">
      <w:pPr>
        <w:jc w:val="center"/>
        <w:rPr>
          <w:b/>
        </w:rPr>
      </w:pPr>
      <w:r w:rsidRPr="0017731D">
        <w:rPr>
          <w:b/>
          <w:lang w:val="sr-Cyrl-CS"/>
        </w:rPr>
        <w:t>Члан  9.</w:t>
      </w:r>
    </w:p>
    <w:p w:rsidR="0017731D" w:rsidRPr="0017731D" w:rsidRDefault="0017731D" w:rsidP="00E746C4">
      <w:pPr>
        <w:jc w:val="both"/>
        <w:rPr>
          <w:lang w:val="sr-Cyrl-CS"/>
        </w:rPr>
      </w:pPr>
      <w:r w:rsidRPr="0017731D">
        <w:rPr>
          <w:lang w:val="sr-Cyrl-CS"/>
        </w:rPr>
        <w:t xml:space="preserve">              Локалне комуналне таксе уводе се за:</w:t>
      </w:r>
    </w:p>
    <w:p w:rsidR="0017731D" w:rsidRPr="0017731D" w:rsidRDefault="0017731D" w:rsidP="00E746C4">
      <w:pPr>
        <w:jc w:val="both"/>
        <w:rPr>
          <w:lang w:val="sr-Cyrl-CS"/>
        </w:rPr>
      </w:pPr>
      <w:r w:rsidRPr="0017731D">
        <w:rPr>
          <w:lang w:val="sr-Cyrl-CS"/>
        </w:rPr>
        <w:t xml:space="preserve">               1.  истицање фирме на пословном простору;</w:t>
      </w:r>
    </w:p>
    <w:p w:rsidR="0017731D" w:rsidRPr="0017731D" w:rsidRDefault="0017731D" w:rsidP="00E746C4">
      <w:pPr>
        <w:jc w:val="both"/>
        <w:rPr>
          <w:lang w:val="sr-Cyrl-CS"/>
        </w:rPr>
      </w:pPr>
      <w:r w:rsidRPr="0017731D">
        <w:rPr>
          <w:lang w:val="sr-Cyrl-CS"/>
        </w:rPr>
        <w:t xml:space="preserve">               2. држање моторних, друмских  и прикључних возила осим пољопривредних возила и машина ;</w:t>
      </w:r>
    </w:p>
    <w:p w:rsidR="0017731D" w:rsidRPr="0017731D" w:rsidRDefault="0017731D" w:rsidP="00E746C4">
      <w:pPr>
        <w:jc w:val="both"/>
        <w:rPr>
          <w:lang w:val="sr-Cyrl-CS"/>
        </w:rPr>
      </w:pPr>
      <w:r w:rsidRPr="0017731D">
        <w:rPr>
          <w:lang w:val="sr-Cyrl-CS"/>
        </w:rPr>
        <w:t xml:space="preserve">               3.   држање средс</w:t>
      </w:r>
      <w:r w:rsidR="00E746C4">
        <w:rPr>
          <w:lang w:val="sr-Cyrl-CS"/>
        </w:rPr>
        <w:t>тава за игру (« забавне игре »)</w:t>
      </w:r>
    </w:p>
    <w:p w:rsidR="0017731D" w:rsidRPr="0017731D" w:rsidRDefault="0017731D" w:rsidP="00E746C4">
      <w:pPr>
        <w:jc w:val="center"/>
        <w:rPr>
          <w:b/>
        </w:rPr>
      </w:pPr>
      <w:r w:rsidRPr="0017731D">
        <w:rPr>
          <w:b/>
          <w:lang w:val="sr-Cyrl-CS"/>
        </w:rPr>
        <w:t>Члан  10.</w:t>
      </w:r>
    </w:p>
    <w:p w:rsidR="0017731D" w:rsidRPr="0017731D" w:rsidRDefault="0017731D" w:rsidP="00E746C4">
      <w:pPr>
        <w:jc w:val="both"/>
        <w:rPr>
          <w:lang w:val="sr-Cyrl-CS"/>
        </w:rPr>
      </w:pPr>
      <w:r w:rsidRPr="0017731D">
        <w:rPr>
          <w:b/>
          <w:lang w:val="sr-Cyrl-CS"/>
        </w:rPr>
        <w:t xml:space="preserve">              </w:t>
      </w:r>
      <w:r w:rsidRPr="0017731D">
        <w:rPr>
          <w:lang w:val="sr-Cyrl-CS"/>
        </w:rPr>
        <w:t>Средства која се остваре наплатом локалних комуналних такса су изворни приход буџета општине.</w:t>
      </w:r>
    </w:p>
    <w:p w:rsidR="0017731D" w:rsidRPr="0017731D" w:rsidRDefault="0017731D" w:rsidP="00E746C4">
      <w:pPr>
        <w:jc w:val="center"/>
        <w:rPr>
          <w:b/>
        </w:rPr>
      </w:pPr>
      <w:r w:rsidRPr="0017731D">
        <w:rPr>
          <w:b/>
          <w:lang w:val="sr-Cyrl-CS"/>
        </w:rPr>
        <w:t>Члан  11.</w:t>
      </w:r>
    </w:p>
    <w:p w:rsidR="0017731D" w:rsidRPr="00E746C4" w:rsidRDefault="0017731D" w:rsidP="00E746C4">
      <w:pPr>
        <w:jc w:val="both"/>
        <w:rPr>
          <w:lang w:val="sr-Cyrl-CS"/>
        </w:rPr>
      </w:pPr>
      <w:r w:rsidRPr="0017731D">
        <w:rPr>
          <w:lang w:val="sr-Cyrl-CS"/>
        </w:rPr>
        <w:t xml:space="preserve">              Утврђивање , наплату као и послове контроле наплате локалне комуналне таксе, врши Општинска управа-Одељење за локалну пореску администрацију,буџет и финансије.</w:t>
      </w:r>
    </w:p>
    <w:p w:rsidR="0017731D" w:rsidRPr="0017731D" w:rsidRDefault="0017731D" w:rsidP="00E746C4">
      <w:pPr>
        <w:jc w:val="center"/>
        <w:rPr>
          <w:b/>
        </w:rPr>
      </w:pPr>
      <w:r w:rsidRPr="0017731D">
        <w:rPr>
          <w:b/>
          <w:lang w:val="sr-Cyrl-CS"/>
        </w:rPr>
        <w:t>Члан  12.</w:t>
      </w:r>
    </w:p>
    <w:p w:rsidR="0017731D" w:rsidRDefault="0017731D" w:rsidP="00E746C4">
      <w:pPr>
        <w:jc w:val="both"/>
        <w:rPr>
          <w:lang w:val="sr-Cyrl-CS"/>
        </w:rPr>
      </w:pPr>
      <w:r w:rsidRPr="0017731D">
        <w:rPr>
          <w:lang w:val="sr-Cyrl-CS"/>
        </w:rPr>
        <w:t xml:space="preserve">            Таксеном тарифом , која је саставни део ове одлуке , утврђује се локалне комуналне таксе у различитој висини, зависно од врсте делатности, величине правног лица у смислу закона којим се уређује рачуноводство  и техничко-употребних карактеристика објеката по зонама . </w:t>
      </w:r>
    </w:p>
    <w:p w:rsidR="00E746C4" w:rsidRPr="0017731D" w:rsidRDefault="00E746C4" w:rsidP="00E746C4">
      <w:pPr>
        <w:jc w:val="both"/>
        <w:rPr>
          <w:lang w:val="sr-Cyrl-CS"/>
        </w:rPr>
      </w:pPr>
    </w:p>
    <w:p w:rsidR="0017731D" w:rsidRPr="0017731D" w:rsidRDefault="0017731D" w:rsidP="00E746C4">
      <w:pPr>
        <w:jc w:val="center"/>
        <w:rPr>
          <w:b/>
        </w:rPr>
      </w:pPr>
      <w:r w:rsidRPr="0017731D">
        <w:rPr>
          <w:b/>
          <w:lang w:val="sr-Cyrl-CS"/>
        </w:rPr>
        <w:lastRenderedPageBreak/>
        <w:t>Члан  13.</w:t>
      </w:r>
    </w:p>
    <w:p w:rsidR="0017731D" w:rsidRPr="0017731D" w:rsidRDefault="00E746C4" w:rsidP="00E746C4">
      <w:pPr>
        <w:jc w:val="both"/>
        <w:rPr>
          <w:lang w:val="sr-Cyrl-CS"/>
        </w:rPr>
      </w:pPr>
      <w:r>
        <w:rPr>
          <w:lang w:val="sr-Cyrl-CS"/>
        </w:rPr>
        <w:tab/>
      </w:r>
      <w:r w:rsidR="0017731D" w:rsidRPr="0017731D">
        <w:rPr>
          <w:lang w:val="sr-Cyrl-CS"/>
        </w:rPr>
        <w:t>Локалне комуналне таксе утврђују се у различитој висини по зонама у којима се налазе објекти, предмети или врше услуге и то:</w:t>
      </w:r>
    </w:p>
    <w:p w:rsidR="0017731D" w:rsidRPr="0017731D" w:rsidRDefault="0017731D" w:rsidP="0017731D">
      <w:pPr>
        <w:rPr>
          <w:u w:val="single"/>
          <w:lang w:val="sr-Cyrl-CS"/>
        </w:rPr>
      </w:pPr>
      <w:r w:rsidRPr="0017731D">
        <w:rPr>
          <w:lang w:val="sr-Cyrl-CS"/>
        </w:rPr>
        <w:tab/>
      </w:r>
      <w:r w:rsidRPr="0017731D">
        <w:rPr>
          <w:b/>
          <w:u w:val="single"/>
          <w:lang w:val="en-GB"/>
        </w:rPr>
        <w:t>I.</w:t>
      </w:r>
      <w:r w:rsidRPr="0017731D">
        <w:rPr>
          <w:b/>
          <w:u w:val="single"/>
          <w:lang w:val="sr-Cyrl-CS"/>
        </w:rPr>
        <w:t xml:space="preserve">а </w:t>
      </w:r>
      <w:proofErr w:type="gramStart"/>
      <w:r w:rsidRPr="0017731D">
        <w:rPr>
          <w:b/>
          <w:u w:val="single"/>
          <w:lang w:val="sr-Cyrl-CS"/>
        </w:rPr>
        <w:t>ЗОНА  која</w:t>
      </w:r>
      <w:proofErr w:type="gramEnd"/>
      <w:r w:rsidRPr="0017731D">
        <w:rPr>
          <w:b/>
          <w:u w:val="single"/>
          <w:lang w:val="sr-Cyrl-CS"/>
        </w:rPr>
        <w:t xml:space="preserve"> обухвата подручје ограничено на следећи начин</w:t>
      </w:r>
      <w:r w:rsidRPr="0017731D">
        <w:rPr>
          <w:u w:val="single"/>
          <w:lang w:val="sr-Cyrl-CS"/>
        </w:rPr>
        <w:t>:</w:t>
      </w:r>
    </w:p>
    <w:p w:rsidR="0017731D" w:rsidRPr="0017731D" w:rsidRDefault="0017731D" w:rsidP="00E746C4">
      <w:pPr>
        <w:jc w:val="both"/>
        <w:rPr>
          <w:lang w:val="sr-Cyrl-CS"/>
        </w:rPr>
      </w:pPr>
      <w:r w:rsidRPr="0017731D">
        <w:rPr>
          <w:lang w:val="sr-Cyrl-CS"/>
        </w:rPr>
        <w:tab/>
        <w:t>Од раскрснице улице 16.фебруар са улицом Пролетерских бригада, левом страном Пролетерских бригада до Немањине улице. Немањином улицом до моста на реци Топлици, левом страном Топлице до кланице, од кланице до почетка улице 7.Јули, левом страном улице 7.Јули до раскрснице са улицом Карађорђевом, левом стране улице Карађорђеве до раскрснице са улицом 16.Фебруар, левом страном улице 16.Фебруар до раскрснице са улицом Пролетерских бригада – најопремљенија зона.</w:t>
      </w:r>
    </w:p>
    <w:p w:rsidR="0017731D" w:rsidRPr="0017731D" w:rsidRDefault="0017731D" w:rsidP="0017731D">
      <w:pPr>
        <w:rPr>
          <w:lang w:val="sr-Cyrl-CS"/>
        </w:rPr>
      </w:pPr>
    </w:p>
    <w:p w:rsidR="0017731D" w:rsidRPr="0017731D" w:rsidRDefault="0017731D" w:rsidP="0017731D">
      <w:pPr>
        <w:rPr>
          <w:b/>
          <w:lang w:val="sr-Cyrl-CS"/>
        </w:rPr>
      </w:pPr>
      <w:r w:rsidRPr="0017731D">
        <w:rPr>
          <w:lang w:val="sr-Cyrl-CS"/>
        </w:rPr>
        <w:tab/>
      </w:r>
      <w:r w:rsidRPr="0017731D">
        <w:rPr>
          <w:b/>
          <w:u w:val="single"/>
          <w:lang w:val="en-GB"/>
        </w:rPr>
        <w:t>I.</w:t>
      </w:r>
      <w:r w:rsidRPr="0017731D">
        <w:rPr>
          <w:b/>
          <w:u w:val="single"/>
          <w:lang w:val="sr-Cyrl-CS"/>
        </w:rPr>
        <w:t xml:space="preserve"> б ЗОНА која обухвата подручје ограничено на следећи начин</w:t>
      </w:r>
      <w:r w:rsidRPr="0017731D">
        <w:rPr>
          <w:b/>
          <w:lang w:val="sr-Cyrl-CS"/>
        </w:rPr>
        <w:t>:</w:t>
      </w:r>
    </w:p>
    <w:p w:rsidR="0017731D" w:rsidRPr="0017731D" w:rsidRDefault="0017731D" w:rsidP="00E746C4">
      <w:pPr>
        <w:jc w:val="both"/>
        <w:rPr>
          <w:lang w:val="en-GB"/>
        </w:rPr>
      </w:pPr>
      <w:r w:rsidRPr="0017731D">
        <w:rPr>
          <w:lang w:val="sr-Cyrl-CS"/>
        </w:rPr>
        <w:tab/>
        <w:t>Улица 16.Фебруар од гвозденог моста десном страном железничке пруге до железничке станице, правац улице 4.Јули, улица Милоја Закића до кружног тока, Његошевом улицом до улице Вука Караџића, улицом Вука Караџића до улице Милана Топлице. Улицом Милана Топлице право до реке Топлице. Левом страном реке Топлице узводно до правца према улици Стефана Првовенчаног до канала, десном страном канала до улице Др Мелгарда, улицом Др Мелгарда до улице Милутина Ускоковића, улицом Милутина Ускоковића до улице Р.М.Само до гвозденог моста, сем дела града који је обухваћен првом зоном.</w:t>
      </w:r>
    </w:p>
    <w:p w:rsidR="0017731D" w:rsidRPr="0017731D" w:rsidRDefault="0017731D" w:rsidP="0017731D">
      <w:pPr>
        <w:rPr>
          <w:lang w:val="en-GB"/>
        </w:rPr>
      </w:pPr>
    </w:p>
    <w:p w:rsidR="0017731D" w:rsidRPr="0017731D" w:rsidRDefault="0017731D" w:rsidP="0017731D">
      <w:pPr>
        <w:rPr>
          <w:b/>
          <w:lang w:val="sr-Cyrl-CS"/>
        </w:rPr>
      </w:pPr>
      <w:r w:rsidRPr="0017731D">
        <w:rPr>
          <w:lang w:val="en-GB"/>
        </w:rPr>
        <w:tab/>
      </w:r>
      <w:r w:rsidRPr="0017731D">
        <w:rPr>
          <w:b/>
          <w:u w:val="single"/>
          <w:lang w:val="en-GB"/>
        </w:rPr>
        <w:t>II.</w:t>
      </w:r>
      <w:r w:rsidRPr="0017731D">
        <w:rPr>
          <w:b/>
          <w:u w:val="single"/>
          <w:lang w:val="sr-Cyrl-CS"/>
        </w:rPr>
        <w:t>ЗОНА која обухвата подручје ограничено на следећи начин</w:t>
      </w:r>
      <w:r w:rsidRPr="0017731D">
        <w:rPr>
          <w:b/>
          <w:lang w:val="sr-Cyrl-CS"/>
        </w:rPr>
        <w:t>:</w:t>
      </w:r>
    </w:p>
    <w:p w:rsidR="0017731D" w:rsidRPr="0017731D" w:rsidRDefault="0017731D" w:rsidP="00E746C4">
      <w:pPr>
        <w:jc w:val="both"/>
        <w:rPr>
          <w:lang w:val="sr-Cyrl-CS"/>
        </w:rPr>
      </w:pPr>
      <w:r w:rsidRPr="0017731D">
        <w:rPr>
          <w:lang w:val="sr-Cyrl-CS"/>
        </w:rPr>
        <w:tab/>
        <w:t xml:space="preserve">Од прве веће кривине у насељу Марковиће потоком до старог села (северно), десно правац преко Баћоглавског потока до улице Баћоглавске до скретања према новој касарни, Баћоглавском улицом до улице Ћирила и Методија, улицом Ћирила и Методија до улице Филипа Филиповића и краја улице Његошеве, правац крај улице Петра Драпшина до краја улице Петра Драпшина, правац север улице Др.Хаџића до улице Топличке, Топличком улицом до канала, каналом до улице Доњомикуљанске, улицом Доњомикуљанском до улице Милана Ракића, од улице Милана Ракића правац улице Антона Антонијевића, правац улице Панчићеве, улицом Панчићевом до краја улице Доситеја Обрадовића, од краја улице Доситеја Обрадовића наставља правац до улице Др Мелгарда код пропуста канала, од пропуста канала десном страном улице Видовданске до укрштања са улицом Иве Андрића, десном страном улице Иве Андрића до новоформиране улице кроз Боровњак, до почетка улице Књегиње Милице, левом страном улице Кнегиње Милице и правцем до кривине приступног пута за прекидну комору, десном страном приступног пута до краја улице Светог Саве потоком до улице Р.М.Само, од улице Р.М.Само до правца хладњаче и реке Топлице, реком Топлицом до железничког моста на ушћу, од моста железничком пругом до укрштања пруга до подвожњака код кастратског гробља, десном страном излази на улицу Косанчић Ивана, правац улице Косанчић Ивана део насеља Кастрат, јужна страна </w:t>
      </w:r>
      <w:r w:rsidRPr="0017731D">
        <w:rPr>
          <w:lang w:val="sr-Cyrl-CS"/>
        </w:rPr>
        <w:lastRenderedPageBreak/>
        <w:t>до надвожњака, железничком пругом до бункера, левом страном реке Бањске до Мирничког потока, десном страном улице Косовске до Марковићког потока, прва већа кривина у насељу Марковиће.</w:t>
      </w:r>
    </w:p>
    <w:p w:rsidR="0017731D" w:rsidRPr="0017731D" w:rsidRDefault="0017731D" w:rsidP="00E746C4">
      <w:pPr>
        <w:jc w:val="both"/>
        <w:rPr>
          <w:lang w:val="sr-Cyrl-CS"/>
        </w:rPr>
      </w:pPr>
      <w:r w:rsidRPr="0017731D">
        <w:rPr>
          <w:lang w:val="sr-Cyrl-CS"/>
        </w:rPr>
        <w:tab/>
        <w:t>У ову зону спада и земљиште на подручју Куршумлијске, Луковске и Пролом Бање.</w:t>
      </w:r>
    </w:p>
    <w:p w:rsidR="0017731D" w:rsidRPr="0017731D" w:rsidRDefault="0017731D" w:rsidP="0017731D">
      <w:pPr>
        <w:rPr>
          <w:b/>
          <w:lang w:val="sr-Cyrl-CS"/>
        </w:rPr>
      </w:pPr>
      <w:r w:rsidRPr="0017731D">
        <w:rPr>
          <w:lang w:val="sr-Cyrl-CS"/>
        </w:rPr>
        <w:tab/>
      </w:r>
      <w:r w:rsidRPr="0017731D">
        <w:rPr>
          <w:b/>
          <w:u w:val="single"/>
          <w:lang w:val="en-GB"/>
        </w:rPr>
        <w:t>III.</w:t>
      </w:r>
      <w:r w:rsidRPr="0017731D">
        <w:rPr>
          <w:b/>
          <w:u w:val="single"/>
          <w:lang w:val="sr-Cyrl-CS"/>
        </w:rPr>
        <w:t>ЗОНА која обухвата подручје ограничено на следећи начин</w:t>
      </w:r>
      <w:r w:rsidRPr="0017731D">
        <w:rPr>
          <w:b/>
          <w:lang w:val="sr-Cyrl-CS"/>
        </w:rPr>
        <w:t>:</w:t>
      </w:r>
    </w:p>
    <w:p w:rsidR="0017731D" w:rsidRPr="00E746C4" w:rsidRDefault="0017731D" w:rsidP="0017731D">
      <w:pPr>
        <w:rPr>
          <w:lang w:val="sr-Cyrl-RS"/>
        </w:rPr>
      </w:pPr>
      <w:r w:rsidRPr="0017731D">
        <w:rPr>
          <w:lang w:val="sr-Cyrl-CS"/>
        </w:rPr>
        <w:tab/>
        <w:t>Од границе друге  зоне до краја грађевинског подручја описаном ГУП-ом.</w:t>
      </w:r>
    </w:p>
    <w:p w:rsidR="0017731D" w:rsidRPr="0017731D" w:rsidRDefault="0017731D" w:rsidP="00E746C4">
      <w:pPr>
        <w:jc w:val="both"/>
        <w:rPr>
          <w:lang w:val="sr-Cyrl-CS"/>
        </w:rPr>
      </w:pPr>
      <w:r w:rsidRPr="0017731D">
        <w:rPr>
          <w:b/>
          <w:lang w:val="en-GB"/>
        </w:rPr>
        <w:tab/>
        <w:t>I</w:t>
      </w:r>
      <w:r w:rsidRPr="0017731D">
        <w:rPr>
          <w:b/>
          <w:u w:val="single"/>
          <w:lang w:val="en-GB"/>
        </w:rPr>
        <w:t>V.</w:t>
      </w:r>
      <w:r w:rsidRPr="0017731D">
        <w:rPr>
          <w:b/>
          <w:u w:val="single"/>
          <w:lang w:val="sr-Cyrl-CS"/>
        </w:rPr>
        <w:t>ЗОНА која обухвата земљиште на подручју приградских месних заједница</w:t>
      </w:r>
      <w:r w:rsidRPr="0017731D">
        <w:rPr>
          <w:u w:val="single"/>
          <w:lang w:val="sr-Cyrl-CS"/>
        </w:rPr>
        <w:t>:</w:t>
      </w:r>
      <w:r w:rsidRPr="0017731D">
        <w:rPr>
          <w:lang w:val="sr-Cyrl-CS"/>
        </w:rPr>
        <w:t xml:space="preserve"> Пепељевац, Мачковац, Пљаково, Бело поље, Горња и Доња Микуљана, Данковиће, Баћоглава, Висока, Кастрат и Крчмаре.</w:t>
      </w:r>
    </w:p>
    <w:p w:rsidR="0017731D" w:rsidRPr="0017731D" w:rsidRDefault="0017731D" w:rsidP="00E746C4">
      <w:pPr>
        <w:jc w:val="both"/>
        <w:rPr>
          <w:lang w:val="sr-Cyrl-CS"/>
        </w:rPr>
      </w:pPr>
      <w:r w:rsidRPr="0017731D">
        <w:rPr>
          <w:lang w:val="sr-Cyrl-CS"/>
        </w:rPr>
        <w:tab/>
      </w:r>
      <w:r w:rsidRPr="0017731D">
        <w:rPr>
          <w:b/>
          <w:u w:val="single"/>
          <w:lang w:val="en-GB"/>
        </w:rPr>
        <w:t>V.</w:t>
      </w:r>
      <w:r w:rsidRPr="0017731D">
        <w:rPr>
          <w:b/>
          <w:u w:val="single"/>
          <w:lang w:val="sr-Cyrl-CS"/>
        </w:rPr>
        <w:t>ЗОНА која обухвата подручје</w:t>
      </w:r>
      <w:r w:rsidRPr="0017731D">
        <w:rPr>
          <w:lang w:val="sr-Cyrl-CS"/>
        </w:rPr>
        <w:t xml:space="preserve"> од границе </w:t>
      </w:r>
      <w:proofErr w:type="gramStart"/>
      <w:r w:rsidRPr="0017731D">
        <w:rPr>
          <w:lang w:val="sr-Cyrl-CS"/>
        </w:rPr>
        <w:t>четврте  зоне</w:t>
      </w:r>
      <w:proofErr w:type="gramEnd"/>
      <w:r w:rsidRPr="0017731D">
        <w:rPr>
          <w:lang w:val="sr-Cyrl-CS"/>
        </w:rPr>
        <w:t xml:space="preserve"> до административне границе општине Куршумлија.</w:t>
      </w:r>
    </w:p>
    <w:p w:rsidR="0017731D" w:rsidRPr="0017731D" w:rsidRDefault="0017731D" w:rsidP="00E746C4">
      <w:pPr>
        <w:jc w:val="center"/>
        <w:rPr>
          <w:b/>
        </w:rPr>
      </w:pPr>
      <w:r w:rsidRPr="0017731D">
        <w:rPr>
          <w:b/>
          <w:lang w:val="sr-Cyrl-CS"/>
        </w:rPr>
        <w:t>Члан  14.</w:t>
      </w:r>
    </w:p>
    <w:p w:rsidR="0017731D" w:rsidRPr="0017731D" w:rsidRDefault="0017731D" w:rsidP="00E746C4">
      <w:pPr>
        <w:jc w:val="both"/>
        <w:rPr>
          <w:lang w:val="sr-Cyrl-CS"/>
        </w:rPr>
      </w:pPr>
      <w:r w:rsidRPr="0017731D">
        <w:rPr>
          <w:b/>
          <w:lang w:val="sr-Cyrl-CS"/>
        </w:rPr>
        <w:t xml:space="preserve">            </w:t>
      </w:r>
      <w:r w:rsidRPr="0017731D">
        <w:rPr>
          <w:lang w:val="sr-Cyrl-CS"/>
        </w:rPr>
        <w:t>Таксени обвезник који пре добијања решења надлежног органа почне са коришћењем права, предмета и услуга,за чије је  коришћење прописано плаћање локалне комуналне таксе,односно не поднесе пријаву у роковима прописаним чланом 6 ове Одлуке,</w:t>
      </w:r>
      <w:r w:rsidR="00E746C4">
        <w:rPr>
          <w:lang w:val="sr-Cyrl-CS"/>
        </w:rPr>
        <w:t xml:space="preserve"> </w:t>
      </w:r>
      <w:r w:rsidRPr="0017731D">
        <w:rPr>
          <w:lang w:val="sr-Cyrl-CS"/>
        </w:rPr>
        <w:t>казниће се за прекршај и то:</w:t>
      </w:r>
    </w:p>
    <w:p w:rsidR="0017731D" w:rsidRPr="0017731D" w:rsidRDefault="0017731D" w:rsidP="00E746C4">
      <w:pPr>
        <w:pStyle w:val="NoSpacing"/>
        <w:rPr>
          <w:lang w:val="sr-Cyrl-CS"/>
        </w:rPr>
      </w:pPr>
      <w:r w:rsidRPr="0017731D">
        <w:rPr>
          <w:lang w:val="sr-Cyrl-CS"/>
        </w:rPr>
        <w:t xml:space="preserve">              -правно лице новчаном казном од 10.000,00 до 150.000,00 динара,</w:t>
      </w:r>
    </w:p>
    <w:p w:rsidR="0017731D" w:rsidRPr="0017731D" w:rsidRDefault="00E746C4" w:rsidP="00E746C4">
      <w:pPr>
        <w:pStyle w:val="NoSpacing"/>
        <w:rPr>
          <w:lang w:val="sr-Cyrl-CS"/>
        </w:rPr>
      </w:pPr>
      <w:r>
        <w:rPr>
          <w:lang w:val="sr-Cyrl-CS"/>
        </w:rPr>
        <w:t xml:space="preserve"> </w:t>
      </w:r>
      <w:r w:rsidR="0017731D" w:rsidRPr="0017731D">
        <w:rPr>
          <w:lang w:val="sr-Cyrl-CS"/>
        </w:rPr>
        <w:t xml:space="preserve">             -предузетник новчаном казном у износу од 5.000,00 до 75.000,00 динара</w:t>
      </w:r>
    </w:p>
    <w:p w:rsidR="0017731D" w:rsidRPr="0017731D" w:rsidRDefault="0017731D" w:rsidP="00E746C4">
      <w:pPr>
        <w:pStyle w:val="NoSpacing"/>
        <w:rPr>
          <w:lang w:val="sr-Cyrl-CS"/>
        </w:rPr>
      </w:pPr>
      <w:r w:rsidRPr="0017731D">
        <w:rPr>
          <w:lang w:val="sr-Cyrl-CS"/>
        </w:rPr>
        <w:t xml:space="preserve">              -физичко лице и одговорно лице у правном лицу  новчаном казном од 1.000,оо- 25.000,оо динара. </w:t>
      </w:r>
    </w:p>
    <w:p w:rsidR="0017731D" w:rsidRPr="0017731D" w:rsidRDefault="0017731D" w:rsidP="003C18F7">
      <w:pPr>
        <w:jc w:val="center"/>
        <w:rPr>
          <w:b/>
        </w:rPr>
      </w:pPr>
      <w:r w:rsidRPr="0017731D">
        <w:rPr>
          <w:b/>
          <w:lang w:val="sr-Cyrl-CS"/>
        </w:rPr>
        <w:t>Члан 15.</w:t>
      </w:r>
    </w:p>
    <w:p w:rsidR="0017731D" w:rsidRPr="0017731D" w:rsidRDefault="0017731D" w:rsidP="003C18F7">
      <w:pPr>
        <w:jc w:val="both"/>
        <w:rPr>
          <w:lang w:val="sr-Cyrl-CS"/>
        </w:rPr>
      </w:pPr>
      <w:r w:rsidRPr="0017731D">
        <w:rPr>
          <w:lang w:val="sr-Cyrl-CS"/>
        </w:rPr>
        <w:tab/>
        <w:t>Сва мала правна лица уписана у регистар Агенције за привредне регистре која обављају делатност на територији општине Куршумлија, а обвезници су комуналне таксе за истицање фирме на пословном простору дужни су да најкасније до 1.марта текуће године доставе доказ о висини годишњих прихода у претходној години, као и доказ о разврставању у средња или велика правна лица ако је било промене у статусу.</w:t>
      </w:r>
    </w:p>
    <w:p w:rsidR="0017731D" w:rsidRPr="0017731D" w:rsidRDefault="0017731D" w:rsidP="003C18F7">
      <w:pPr>
        <w:jc w:val="both"/>
        <w:rPr>
          <w:lang w:val="sr-Cyrl-CS"/>
        </w:rPr>
      </w:pPr>
      <w:r w:rsidRPr="0017731D">
        <w:rPr>
          <w:lang w:val="sr-Cyrl-CS"/>
        </w:rPr>
        <w:tab/>
        <w:t>Ако мало правно лице благовремено не поднесе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17731D" w:rsidRPr="0017731D" w:rsidRDefault="0017731D" w:rsidP="003C18F7">
      <w:pPr>
        <w:pStyle w:val="NoSpacing"/>
        <w:rPr>
          <w:lang w:val="sr-Cyrl-CS"/>
        </w:rPr>
      </w:pPr>
      <w:r w:rsidRPr="0017731D">
        <w:rPr>
          <w:lang w:val="sr-Cyrl-CS"/>
        </w:rPr>
        <w:t>1.правно лице – од 10.000 до 150.000,оо динара,</w:t>
      </w:r>
    </w:p>
    <w:p w:rsidR="0017731D" w:rsidRDefault="0017731D" w:rsidP="003C18F7">
      <w:pPr>
        <w:pStyle w:val="NoSpacing"/>
        <w:rPr>
          <w:lang w:val="sr-Cyrl-CS"/>
        </w:rPr>
      </w:pPr>
      <w:r w:rsidRPr="0017731D">
        <w:rPr>
          <w:lang w:val="sr-Cyrl-CS"/>
        </w:rPr>
        <w:t>2.физичко лице и одговорно лице у правном лицу – од 1.000 до 25.000 динара.</w:t>
      </w:r>
    </w:p>
    <w:p w:rsidR="003C18F7" w:rsidRPr="0017731D" w:rsidRDefault="003C18F7" w:rsidP="003C18F7">
      <w:pPr>
        <w:pStyle w:val="NoSpacing"/>
        <w:rPr>
          <w:lang w:val="sr-Cyrl-CS"/>
        </w:rPr>
      </w:pPr>
    </w:p>
    <w:p w:rsidR="003C18F7" w:rsidRDefault="0017731D" w:rsidP="003C18F7">
      <w:pPr>
        <w:jc w:val="center"/>
        <w:rPr>
          <w:b/>
          <w:lang w:val="sr-Cyrl-RS"/>
        </w:rPr>
      </w:pPr>
      <w:r w:rsidRPr="0017731D">
        <w:rPr>
          <w:b/>
          <w:lang w:val="sr-Cyrl-CS"/>
        </w:rPr>
        <w:t>Члан 16.</w:t>
      </w:r>
    </w:p>
    <w:p w:rsidR="0017731D" w:rsidRPr="003C18F7" w:rsidRDefault="0017731D" w:rsidP="003C18F7">
      <w:pPr>
        <w:jc w:val="both"/>
        <w:rPr>
          <w:b/>
        </w:rPr>
      </w:pPr>
      <w:r w:rsidRPr="0017731D">
        <w:rPr>
          <w:lang w:val="sr-Cyrl-CS"/>
        </w:rPr>
        <w:t>Надзор над применом одредаба ове одлуке врши Општинска управа- Одељење за локалну пореску администрацију,буџет и финансије.</w:t>
      </w:r>
    </w:p>
    <w:p w:rsidR="0017731D" w:rsidRPr="0017731D" w:rsidRDefault="0017731D" w:rsidP="003C18F7">
      <w:pPr>
        <w:jc w:val="both"/>
      </w:pPr>
      <w:r w:rsidRPr="0017731D">
        <w:rPr>
          <w:lang w:val="sr-Cyrl-CS"/>
        </w:rPr>
        <w:lastRenderedPageBreak/>
        <w:t xml:space="preserve">               Послове инспекцијског надзора над применом одредаба ове одлуке врши Општинска управа –надлежна инспекција.</w:t>
      </w:r>
    </w:p>
    <w:p w:rsidR="0017731D" w:rsidRPr="0017731D" w:rsidRDefault="0017731D" w:rsidP="003C18F7">
      <w:pPr>
        <w:jc w:val="center"/>
        <w:rPr>
          <w:b/>
        </w:rPr>
      </w:pPr>
      <w:r w:rsidRPr="0017731D">
        <w:rPr>
          <w:b/>
          <w:lang w:val="sr-Cyrl-CS"/>
        </w:rPr>
        <w:t>Члан  17.</w:t>
      </w:r>
    </w:p>
    <w:p w:rsidR="0017731D" w:rsidRPr="0017731D" w:rsidRDefault="0017731D" w:rsidP="003C18F7">
      <w:pPr>
        <w:jc w:val="both"/>
        <w:rPr>
          <w:lang w:val="sr-Cyrl-CS"/>
        </w:rPr>
      </w:pPr>
      <w:r w:rsidRPr="0017731D">
        <w:rPr>
          <w:b/>
          <w:lang w:val="sr-Cyrl-CS"/>
        </w:rPr>
        <w:t xml:space="preserve">               </w:t>
      </w:r>
      <w:r w:rsidRPr="0017731D">
        <w:rPr>
          <w:lang w:val="sr-Cyrl-CS"/>
        </w:rPr>
        <w:t>Ова одлука ступа на снагу ос</w:t>
      </w:r>
      <w:r w:rsidR="002C48CD">
        <w:rPr>
          <w:lang w:val="sr-Cyrl-CS"/>
        </w:rPr>
        <w:t xml:space="preserve">мог дана од дана објављивања у </w:t>
      </w:r>
      <w:r w:rsidRPr="0017731D">
        <w:rPr>
          <w:lang w:val="sr-Cyrl-CS"/>
        </w:rPr>
        <w:t xml:space="preserve"> </w:t>
      </w:r>
      <w:r w:rsidR="002C48CD">
        <w:rPr>
          <w:lang w:val="sr-Cyrl-CS"/>
        </w:rPr>
        <w:t>„</w:t>
      </w:r>
      <w:r w:rsidRPr="0017731D">
        <w:rPr>
          <w:lang w:val="sr-Cyrl-CS"/>
        </w:rPr>
        <w:t>Слу</w:t>
      </w:r>
      <w:r w:rsidR="002C48CD">
        <w:rPr>
          <w:lang w:val="sr-Cyrl-CS"/>
        </w:rPr>
        <w:t xml:space="preserve">жбеном листу Општина Куршумлија“ </w:t>
      </w:r>
      <w:r w:rsidR="003C18F7">
        <w:rPr>
          <w:lang w:val="sr-Cyrl-CS"/>
        </w:rPr>
        <w:t>а примењиваће се од 01.01.2020</w:t>
      </w:r>
      <w:r w:rsidRPr="0017731D">
        <w:rPr>
          <w:lang w:val="sr-Cyrl-CS"/>
        </w:rPr>
        <w:t>.године.</w:t>
      </w:r>
    </w:p>
    <w:p w:rsidR="0017731D" w:rsidRPr="0017731D" w:rsidRDefault="0017731D" w:rsidP="0017731D">
      <w:pPr>
        <w:rPr>
          <w:b/>
          <w:lang w:val="sr-Cyrl-CS"/>
        </w:rPr>
      </w:pPr>
      <w:r w:rsidRPr="0017731D">
        <w:rPr>
          <w:lang w:val="sr-Cyrl-CS"/>
        </w:rPr>
        <w:t xml:space="preserve">                                     </w:t>
      </w:r>
    </w:p>
    <w:p w:rsidR="00172B4E" w:rsidRPr="00172B4E" w:rsidRDefault="0017731D" w:rsidP="00172B4E">
      <w:pPr>
        <w:pStyle w:val="NoSpacing"/>
        <w:jc w:val="right"/>
        <w:rPr>
          <w:rFonts w:cstheme="minorHAnsi"/>
          <w:sz w:val="24"/>
          <w:szCs w:val="24"/>
        </w:rPr>
      </w:pPr>
      <w:r w:rsidRPr="00172B4E">
        <w:rPr>
          <w:rFonts w:cstheme="minorHAnsi"/>
          <w:b/>
          <w:sz w:val="24"/>
          <w:szCs w:val="24"/>
          <w:lang w:val="sr-Cyrl-CS"/>
        </w:rPr>
        <w:tab/>
      </w:r>
    </w:p>
    <w:p w:rsidR="00172B4E" w:rsidRPr="00172B4E" w:rsidRDefault="00172B4E" w:rsidP="00172B4E">
      <w:pPr>
        <w:spacing w:after="0" w:line="240" w:lineRule="auto"/>
        <w:jc w:val="both"/>
        <w:rPr>
          <w:rFonts w:cstheme="minorHAnsi"/>
          <w:sz w:val="24"/>
          <w:szCs w:val="24"/>
          <w:lang w:val="sr-Cyrl-RS"/>
        </w:rPr>
      </w:pPr>
      <w:r w:rsidRPr="00172B4E">
        <w:rPr>
          <w:rFonts w:cstheme="minorHAnsi"/>
          <w:sz w:val="24"/>
          <w:szCs w:val="24"/>
          <w:lang w:val="sr-Cyrl-CS"/>
        </w:rPr>
        <w:t>Број:</w:t>
      </w:r>
      <w:r w:rsidRPr="00172B4E">
        <w:rPr>
          <w:rFonts w:cstheme="minorHAnsi"/>
          <w:sz w:val="24"/>
          <w:szCs w:val="24"/>
          <w:lang w:val="sr-Cyrl-RS"/>
        </w:rPr>
        <w:t xml:space="preserve"> _____________</w:t>
      </w:r>
    </w:p>
    <w:p w:rsidR="00172B4E" w:rsidRPr="00172B4E" w:rsidRDefault="00172B4E" w:rsidP="00172B4E">
      <w:pPr>
        <w:spacing w:after="0" w:line="240" w:lineRule="auto"/>
        <w:jc w:val="both"/>
        <w:rPr>
          <w:rFonts w:cstheme="minorHAnsi"/>
          <w:sz w:val="24"/>
          <w:szCs w:val="24"/>
          <w:lang w:val="sr-Cyrl-CS"/>
        </w:rPr>
      </w:pPr>
      <w:r w:rsidRPr="00172B4E">
        <w:rPr>
          <w:rFonts w:cstheme="minorHAnsi"/>
          <w:sz w:val="24"/>
          <w:szCs w:val="24"/>
          <w:lang w:val="sr-Cyrl-CS"/>
        </w:rPr>
        <w:t xml:space="preserve">У Куршумлији, </w:t>
      </w:r>
      <w:r w:rsidRPr="00172B4E">
        <w:rPr>
          <w:rFonts w:cstheme="minorHAnsi"/>
          <w:sz w:val="24"/>
          <w:szCs w:val="24"/>
          <w:lang w:val="sr-Cyrl-RS"/>
        </w:rPr>
        <w:t>__________</w:t>
      </w:r>
      <w:r w:rsidRPr="00172B4E">
        <w:rPr>
          <w:rFonts w:cstheme="minorHAnsi"/>
          <w:sz w:val="24"/>
          <w:szCs w:val="24"/>
        </w:rPr>
        <w:t>2019.</w:t>
      </w:r>
      <w:r w:rsidRPr="00172B4E">
        <w:rPr>
          <w:rFonts w:cstheme="minorHAnsi"/>
          <w:sz w:val="24"/>
          <w:szCs w:val="24"/>
          <w:lang w:val="sr-Cyrl-CS"/>
        </w:rPr>
        <w:t>године</w:t>
      </w:r>
    </w:p>
    <w:p w:rsidR="00172B4E" w:rsidRPr="00172B4E" w:rsidRDefault="00172B4E" w:rsidP="00172B4E">
      <w:pPr>
        <w:spacing w:after="0" w:line="240" w:lineRule="auto"/>
        <w:jc w:val="both"/>
        <w:rPr>
          <w:rFonts w:cstheme="minorHAnsi"/>
          <w:b/>
          <w:sz w:val="24"/>
          <w:szCs w:val="24"/>
        </w:rPr>
      </w:pPr>
      <w:r w:rsidRPr="00172B4E">
        <w:rPr>
          <w:rFonts w:cstheme="minorHAnsi"/>
          <w:b/>
          <w:sz w:val="24"/>
          <w:szCs w:val="24"/>
          <w:lang w:val="sr-Cyrl-CS"/>
        </w:rPr>
        <w:t>СКУПШТИНА ОПШТИНЕ КУРШУМЛИЈА</w:t>
      </w:r>
    </w:p>
    <w:p w:rsidR="00172B4E" w:rsidRPr="00172B4E" w:rsidRDefault="00172B4E" w:rsidP="00172B4E">
      <w:pPr>
        <w:spacing w:after="0" w:line="240" w:lineRule="auto"/>
        <w:ind w:firstLine="720"/>
        <w:jc w:val="both"/>
        <w:rPr>
          <w:rFonts w:cstheme="minorHAnsi"/>
          <w:b/>
          <w:sz w:val="24"/>
          <w:szCs w:val="24"/>
        </w:rPr>
      </w:pPr>
    </w:p>
    <w:p w:rsidR="00172B4E" w:rsidRPr="00172B4E" w:rsidRDefault="00172B4E" w:rsidP="00172B4E">
      <w:pPr>
        <w:spacing w:after="0" w:line="240" w:lineRule="auto"/>
        <w:ind w:firstLine="720"/>
        <w:jc w:val="both"/>
        <w:rPr>
          <w:rFonts w:cstheme="minorHAnsi"/>
          <w:b/>
          <w:sz w:val="24"/>
          <w:szCs w:val="24"/>
        </w:rPr>
      </w:pPr>
    </w:p>
    <w:p w:rsidR="00172B4E" w:rsidRPr="00172B4E" w:rsidRDefault="00172B4E" w:rsidP="00172B4E">
      <w:pPr>
        <w:spacing w:after="0" w:line="240" w:lineRule="auto"/>
        <w:ind w:firstLine="720"/>
        <w:jc w:val="both"/>
        <w:rPr>
          <w:rFonts w:cstheme="minorHAnsi"/>
          <w:b/>
          <w:sz w:val="24"/>
          <w:szCs w:val="24"/>
          <w:lang w:val="sr-Cyrl-RS"/>
        </w:rPr>
      </w:pPr>
    </w:p>
    <w:p w:rsidR="00172B4E" w:rsidRPr="00172B4E" w:rsidRDefault="00172B4E" w:rsidP="00172B4E">
      <w:pPr>
        <w:spacing w:after="0" w:line="240" w:lineRule="auto"/>
        <w:ind w:firstLine="720"/>
        <w:jc w:val="both"/>
        <w:rPr>
          <w:rFonts w:cstheme="minorHAnsi"/>
          <w:b/>
          <w:sz w:val="24"/>
          <w:szCs w:val="24"/>
          <w:lang w:val="sr-Cyrl-RS"/>
        </w:rPr>
      </w:pPr>
    </w:p>
    <w:p w:rsidR="00172B4E" w:rsidRPr="00172B4E" w:rsidRDefault="00172B4E" w:rsidP="00172B4E">
      <w:pPr>
        <w:spacing w:after="0" w:line="240" w:lineRule="auto"/>
        <w:ind w:firstLine="720"/>
        <w:jc w:val="both"/>
        <w:rPr>
          <w:rFonts w:cstheme="minorHAnsi"/>
          <w:b/>
          <w:sz w:val="24"/>
          <w:szCs w:val="24"/>
        </w:rPr>
      </w:pPr>
      <w:r w:rsidRPr="00172B4E">
        <w:rPr>
          <w:rFonts w:cstheme="minorHAnsi"/>
          <w:b/>
          <w:sz w:val="24"/>
          <w:szCs w:val="24"/>
        </w:rPr>
        <w:t xml:space="preserve">     </w:t>
      </w:r>
    </w:p>
    <w:p w:rsidR="00172B4E" w:rsidRPr="00172B4E" w:rsidRDefault="00172B4E" w:rsidP="00172B4E">
      <w:pPr>
        <w:spacing w:after="0" w:line="240" w:lineRule="auto"/>
        <w:jc w:val="both"/>
        <w:rPr>
          <w:rFonts w:cstheme="minorHAnsi"/>
          <w:b/>
          <w:sz w:val="24"/>
          <w:szCs w:val="24"/>
          <w:lang w:val="sr-Cyrl-CS"/>
        </w:rPr>
      </w:pPr>
      <w:r w:rsidRPr="00172B4E">
        <w:rPr>
          <w:rFonts w:cstheme="minorHAnsi"/>
          <w:b/>
          <w:sz w:val="24"/>
          <w:szCs w:val="24"/>
          <w:lang w:val="sr-Cyrl-CS"/>
        </w:rPr>
        <w:tab/>
      </w:r>
      <w:r w:rsidRPr="00172B4E">
        <w:rPr>
          <w:rFonts w:cstheme="minorHAnsi"/>
          <w:b/>
          <w:sz w:val="24"/>
          <w:szCs w:val="24"/>
          <w:lang w:val="sr-Cyrl-CS"/>
        </w:rPr>
        <w:tab/>
      </w:r>
      <w:r w:rsidRPr="00172B4E">
        <w:rPr>
          <w:rFonts w:cstheme="minorHAnsi"/>
          <w:b/>
          <w:sz w:val="24"/>
          <w:szCs w:val="24"/>
          <w:lang w:val="sr-Cyrl-CS"/>
        </w:rPr>
        <w:tab/>
      </w:r>
      <w:r w:rsidRPr="00172B4E">
        <w:rPr>
          <w:rFonts w:cstheme="minorHAnsi"/>
          <w:b/>
          <w:sz w:val="24"/>
          <w:szCs w:val="24"/>
          <w:lang w:val="sr-Cyrl-CS"/>
        </w:rPr>
        <w:tab/>
      </w:r>
      <w:r w:rsidRPr="00172B4E">
        <w:rPr>
          <w:rFonts w:cstheme="minorHAnsi"/>
          <w:b/>
          <w:sz w:val="24"/>
          <w:szCs w:val="24"/>
          <w:lang w:val="sr-Cyrl-CS"/>
        </w:rPr>
        <w:tab/>
        <w:t xml:space="preserve">                            </w:t>
      </w:r>
      <w:r w:rsidRPr="00172B4E">
        <w:rPr>
          <w:rFonts w:cstheme="minorHAnsi"/>
          <w:b/>
          <w:sz w:val="24"/>
          <w:szCs w:val="24"/>
        </w:rPr>
        <w:t xml:space="preserve"> </w:t>
      </w:r>
      <w:r w:rsidRPr="00172B4E">
        <w:rPr>
          <w:rFonts w:cstheme="minorHAnsi"/>
          <w:b/>
          <w:sz w:val="24"/>
          <w:szCs w:val="24"/>
          <w:lang w:val="sr-Cyrl-RS"/>
        </w:rPr>
        <w:t xml:space="preserve">         </w:t>
      </w:r>
      <w:r w:rsidRPr="00172B4E">
        <w:rPr>
          <w:rFonts w:cstheme="minorHAnsi"/>
          <w:b/>
          <w:sz w:val="24"/>
          <w:szCs w:val="24"/>
        </w:rPr>
        <w:t xml:space="preserve">  </w:t>
      </w:r>
      <w:r w:rsidRPr="00172B4E">
        <w:rPr>
          <w:rFonts w:cstheme="minorHAnsi"/>
          <w:b/>
          <w:sz w:val="24"/>
          <w:szCs w:val="24"/>
          <w:lang w:val="sr-Cyrl-RS"/>
        </w:rPr>
        <w:t xml:space="preserve">   </w:t>
      </w:r>
      <w:r w:rsidRPr="00172B4E">
        <w:rPr>
          <w:rFonts w:cstheme="minorHAnsi"/>
          <w:b/>
          <w:sz w:val="24"/>
          <w:szCs w:val="24"/>
        </w:rPr>
        <w:t xml:space="preserve"> </w:t>
      </w:r>
      <w:r w:rsidRPr="00172B4E">
        <w:rPr>
          <w:rFonts w:cstheme="minorHAnsi"/>
          <w:b/>
          <w:sz w:val="24"/>
          <w:szCs w:val="24"/>
          <w:lang w:val="sr-Cyrl-RS"/>
        </w:rPr>
        <w:t xml:space="preserve"> </w:t>
      </w:r>
      <w:r>
        <w:rPr>
          <w:rFonts w:cstheme="minorHAnsi"/>
          <w:b/>
          <w:sz w:val="24"/>
          <w:szCs w:val="24"/>
          <w:lang w:val="sr-Latn-RS"/>
        </w:rPr>
        <w:t xml:space="preserve">   </w:t>
      </w:r>
      <w:r w:rsidRPr="00172B4E">
        <w:rPr>
          <w:rFonts w:cstheme="minorHAnsi"/>
          <w:b/>
          <w:sz w:val="24"/>
          <w:szCs w:val="24"/>
          <w:lang w:val="sr-Cyrl-RS"/>
        </w:rPr>
        <w:t xml:space="preserve"> </w:t>
      </w:r>
      <w:r w:rsidRPr="00172B4E">
        <w:rPr>
          <w:rFonts w:cstheme="minorHAnsi"/>
          <w:b/>
          <w:sz w:val="24"/>
          <w:szCs w:val="24"/>
        </w:rPr>
        <w:t xml:space="preserve"> </w:t>
      </w:r>
      <w:r w:rsidRPr="00172B4E">
        <w:rPr>
          <w:rFonts w:cstheme="minorHAnsi"/>
          <w:b/>
          <w:sz w:val="24"/>
          <w:szCs w:val="24"/>
          <w:lang w:val="sr-Cyrl-CS"/>
        </w:rPr>
        <w:t>ПРЕДСЕДНИК СКУПШТИНЕ</w:t>
      </w:r>
    </w:p>
    <w:p w:rsidR="00172B4E" w:rsidRPr="00172B4E" w:rsidRDefault="00172B4E" w:rsidP="00172B4E">
      <w:pPr>
        <w:spacing w:after="0" w:line="240" w:lineRule="auto"/>
        <w:jc w:val="both"/>
        <w:rPr>
          <w:rFonts w:cstheme="minorHAnsi"/>
          <w:i/>
          <w:sz w:val="24"/>
          <w:szCs w:val="24"/>
        </w:rPr>
      </w:pPr>
      <w:r w:rsidRPr="00172B4E">
        <w:rPr>
          <w:rFonts w:cstheme="minorHAnsi"/>
          <w:b/>
          <w:sz w:val="24"/>
          <w:szCs w:val="24"/>
          <w:lang w:val="sr-Cyrl-CS"/>
        </w:rPr>
        <w:tab/>
      </w:r>
      <w:r w:rsidRPr="00172B4E">
        <w:rPr>
          <w:rFonts w:cstheme="minorHAnsi"/>
          <w:b/>
          <w:sz w:val="24"/>
          <w:szCs w:val="24"/>
          <w:lang w:val="sr-Cyrl-CS"/>
        </w:rPr>
        <w:tab/>
      </w:r>
      <w:r w:rsidRPr="00172B4E">
        <w:rPr>
          <w:rFonts w:cstheme="minorHAnsi"/>
          <w:b/>
          <w:sz w:val="24"/>
          <w:szCs w:val="24"/>
          <w:lang w:val="sr-Cyrl-CS"/>
        </w:rPr>
        <w:tab/>
      </w:r>
      <w:r w:rsidRPr="00172B4E">
        <w:rPr>
          <w:rFonts w:cstheme="minorHAnsi"/>
          <w:b/>
          <w:sz w:val="24"/>
          <w:szCs w:val="24"/>
          <w:lang w:val="sr-Cyrl-CS"/>
        </w:rPr>
        <w:tab/>
      </w:r>
      <w:r w:rsidRPr="00172B4E">
        <w:rPr>
          <w:rFonts w:cstheme="minorHAnsi"/>
          <w:b/>
          <w:sz w:val="24"/>
          <w:szCs w:val="24"/>
          <w:lang w:val="sr-Cyrl-CS"/>
        </w:rPr>
        <w:tab/>
      </w:r>
      <w:r w:rsidRPr="00172B4E">
        <w:rPr>
          <w:rFonts w:cstheme="minorHAnsi"/>
          <w:i/>
          <w:sz w:val="24"/>
          <w:szCs w:val="24"/>
          <w:lang w:val="sr-Cyrl-CS"/>
        </w:rPr>
        <w:t xml:space="preserve">                             </w:t>
      </w:r>
      <w:r w:rsidRPr="00172B4E">
        <w:rPr>
          <w:rFonts w:cstheme="minorHAnsi"/>
          <w:i/>
          <w:sz w:val="24"/>
          <w:szCs w:val="24"/>
        </w:rPr>
        <w:t xml:space="preserve">     </w:t>
      </w:r>
      <w:r w:rsidRPr="00172B4E">
        <w:rPr>
          <w:rFonts w:cstheme="minorHAnsi"/>
          <w:i/>
          <w:sz w:val="24"/>
          <w:szCs w:val="24"/>
          <w:lang w:val="sr-Cyrl-RS"/>
        </w:rPr>
        <w:t xml:space="preserve">       </w:t>
      </w:r>
      <w:r>
        <w:rPr>
          <w:rFonts w:cstheme="minorHAnsi"/>
          <w:i/>
          <w:sz w:val="24"/>
          <w:szCs w:val="24"/>
          <w:lang w:val="sr-Latn-RS"/>
        </w:rPr>
        <w:t xml:space="preserve">    </w:t>
      </w:r>
      <w:r w:rsidRPr="00172B4E">
        <w:rPr>
          <w:rFonts w:cstheme="minorHAnsi"/>
          <w:i/>
          <w:sz w:val="24"/>
          <w:szCs w:val="24"/>
          <w:lang w:val="sr-Cyrl-RS"/>
        </w:rPr>
        <w:t xml:space="preserve">  </w:t>
      </w:r>
      <w:r w:rsidRPr="00172B4E">
        <w:rPr>
          <w:rFonts w:cstheme="minorHAnsi"/>
          <w:i/>
          <w:sz w:val="24"/>
          <w:szCs w:val="24"/>
          <w:lang w:val="sr-Cyrl-CS"/>
        </w:rPr>
        <w:t xml:space="preserve"> Дејан Ловић,инг.машинства</w:t>
      </w:r>
    </w:p>
    <w:p w:rsidR="003C18F7" w:rsidRDefault="003C18F7" w:rsidP="00172B4E">
      <w:pPr>
        <w:rPr>
          <w:b/>
          <w:lang w:val="sr-Cyrl-CS"/>
        </w:rPr>
      </w:pPr>
    </w:p>
    <w:p w:rsidR="003C18F7" w:rsidRDefault="003C18F7" w:rsidP="0017731D">
      <w:pPr>
        <w:rPr>
          <w:b/>
          <w:lang w:val="sr-Cyrl-CS"/>
        </w:rPr>
      </w:pPr>
    </w:p>
    <w:p w:rsidR="003C18F7" w:rsidRDefault="003C18F7" w:rsidP="0017731D">
      <w:pPr>
        <w:rPr>
          <w:b/>
          <w:lang w:val="sr-Cyrl-CS"/>
        </w:rPr>
      </w:pPr>
    </w:p>
    <w:p w:rsidR="003C18F7" w:rsidRDefault="003C18F7" w:rsidP="0017731D">
      <w:pPr>
        <w:rPr>
          <w:b/>
          <w:lang w:val="sr-Cyrl-CS"/>
        </w:rPr>
      </w:pPr>
    </w:p>
    <w:p w:rsidR="003C18F7" w:rsidRDefault="003C18F7" w:rsidP="0017731D">
      <w:pPr>
        <w:rPr>
          <w:b/>
          <w:lang w:val="sr-Cyrl-CS"/>
        </w:rPr>
      </w:pPr>
    </w:p>
    <w:p w:rsidR="003C18F7" w:rsidRDefault="003C18F7" w:rsidP="0017731D">
      <w:pPr>
        <w:rPr>
          <w:b/>
          <w:lang w:val="sr-Cyrl-CS"/>
        </w:rPr>
      </w:pPr>
    </w:p>
    <w:p w:rsidR="003C18F7" w:rsidRDefault="003C18F7" w:rsidP="0017731D">
      <w:pPr>
        <w:rPr>
          <w:b/>
          <w:lang w:val="sr-Cyrl-CS"/>
        </w:rPr>
      </w:pPr>
    </w:p>
    <w:p w:rsidR="003C18F7" w:rsidRDefault="003C18F7" w:rsidP="0017731D">
      <w:pPr>
        <w:rPr>
          <w:b/>
          <w:lang w:val="sr-Cyrl-CS"/>
        </w:rPr>
      </w:pPr>
    </w:p>
    <w:p w:rsidR="003C18F7" w:rsidRDefault="003C18F7" w:rsidP="0017731D">
      <w:pPr>
        <w:rPr>
          <w:b/>
        </w:rPr>
      </w:pPr>
    </w:p>
    <w:p w:rsidR="000477C7" w:rsidRDefault="000477C7" w:rsidP="003C18F7">
      <w:pPr>
        <w:jc w:val="center"/>
        <w:rPr>
          <w:b/>
          <w:lang w:val="sr-Cyrl-RS"/>
        </w:rPr>
      </w:pPr>
    </w:p>
    <w:p w:rsidR="007828D6" w:rsidRDefault="007828D6" w:rsidP="003C18F7">
      <w:pPr>
        <w:jc w:val="center"/>
        <w:rPr>
          <w:b/>
          <w:lang w:val="sr-Latn-RS"/>
        </w:rPr>
      </w:pPr>
    </w:p>
    <w:p w:rsidR="00172B4E" w:rsidRDefault="00172B4E" w:rsidP="003C18F7">
      <w:pPr>
        <w:jc w:val="center"/>
        <w:rPr>
          <w:b/>
          <w:lang w:val="sr-Latn-RS"/>
        </w:rPr>
      </w:pPr>
    </w:p>
    <w:p w:rsidR="00172B4E" w:rsidRDefault="00172B4E" w:rsidP="003C18F7">
      <w:pPr>
        <w:jc w:val="center"/>
        <w:rPr>
          <w:b/>
          <w:lang w:val="sr-Latn-RS"/>
        </w:rPr>
      </w:pPr>
    </w:p>
    <w:p w:rsidR="00172B4E" w:rsidRPr="00172B4E" w:rsidRDefault="00172B4E" w:rsidP="003C18F7">
      <w:pPr>
        <w:jc w:val="center"/>
        <w:rPr>
          <w:b/>
          <w:lang w:val="sr-Latn-RS"/>
        </w:rPr>
      </w:pPr>
    </w:p>
    <w:p w:rsidR="007828D6" w:rsidRPr="007828D6" w:rsidRDefault="007828D6" w:rsidP="003C18F7">
      <w:pPr>
        <w:jc w:val="center"/>
        <w:rPr>
          <w:b/>
          <w:lang w:val="sr-Cyrl-RS"/>
        </w:rPr>
      </w:pPr>
    </w:p>
    <w:p w:rsidR="000477C7" w:rsidRPr="000477C7" w:rsidRDefault="000477C7" w:rsidP="003C18F7">
      <w:pPr>
        <w:jc w:val="center"/>
        <w:rPr>
          <w:b/>
          <w:lang w:val="sr-Cyrl-CS"/>
        </w:rPr>
      </w:pPr>
      <w:r w:rsidRPr="000477C7">
        <w:rPr>
          <w:b/>
          <w:lang w:val="sr-Cyrl-CS"/>
        </w:rPr>
        <w:lastRenderedPageBreak/>
        <w:t>Т А К С Е Н А       Т А Р И Ф А</w:t>
      </w:r>
    </w:p>
    <w:p w:rsidR="000477C7" w:rsidRPr="000477C7" w:rsidRDefault="000477C7" w:rsidP="003C18F7">
      <w:pPr>
        <w:jc w:val="center"/>
        <w:rPr>
          <w:b/>
          <w:lang w:val="sr-Cyrl-CS"/>
        </w:rPr>
      </w:pPr>
    </w:p>
    <w:p w:rsidR="000477C7" w:rsidRPr="000477C7" w:rsidRDefault="000477C7" w:rsidP="003C18F7">
      <w:pPr>
        <w:jc w:val="center"/>
        <w:rPr>
          <w:b/>
          <w:lang w:val="sr-Cyrl-CS"/>
        </w:rPr>
      </w:pPr>
      <w:r w:rsidRPr="000477C7">
        <w:rPr>
          <w:b/>
          <w:lang w:val="sr-Cyrl-CS"/>
        </w:rPr>
        <w:t>Тарифни број  1.</w:t>
      </w:r>
    </w:p>
    <w:p w:rsidR="000477C7" w:rsidRPr="000477C7" w:rsidRDefault="000477C7" w:rsidP="000477C7">
      <w:pPr>
        <w:rPr>
          <w:b/>
          <w:lang w:val="sr-Cyrl-CS"/>
        </w:rPr>
      </w:pPr>
      <w:r w:rsidRPr="000477C7">
        <w:rPr>
          <w:b/>
          <w:lang w:val="sr-Cyrl-CS"/>
        </w:rPr>
        <w:t xml:space="preserve">   </w:t>
      </w:r>
    </w:p>
    <w:p w:rsidR="000477C7" w:rsidRPr="000477C7" w:rsidRDefault="000477C7" w:rsidP="000477C7">
      <w:pPr>
        <w:rPr>
          <w:b/>
          <w:lang w:val="sr-Cyrl-CS"/>
        </w:rPr>
      </w:pPr>
      <w:r w:rsidRPr="000477C7">
        <w:rPr>
          <w:b/>
          <w:lang w:val="sr-Cyrl-CS"/>
        </w:rPr>
        <w:t xml:space="preserve">              За истицање фирме на пословном простору (фирмарина) утврђује се локална комунална такса и то:</w:t>
      </w:r>
    </w:p>
    <w:p w:rsidR="000477C7" w:rsidRPr="000477C7" w:rsidRDefault="000477C7" w:rsidP="000477C7">
      <w:pPr>
        <w:rPr>
          <w:b/>
          <w:lang w:val="sr-Cyrl-CS"/>
        </w:rPr>
      </w:pPr>
      <w:r w:rsidRPr="000477C7">
        <w:rPr>
          <w:b/>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946"/>
        <w:gridCol w:w="1518"/>
      </w:tblGrid>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Ред</w:t>
            </w:r>
          </w:p>
          <w:p w:rsidR="000477C7" w:rsidRPr="000477C7" w:rsidRDefault="000477C7" w:rsidP="000477C7">
            <w:pPr>
              <w:rPr>
                <w:b/>
                <w:lang w:val="sr-Cyrl-CS"/>
              </w:rPr>
            </w:pPr>
            <w:r w:rsidRPr="000477C7">
              <w:rPr>
                <w:b/>
                <w:lang w:val="sr-Cyrl-CS"/>
              </w:rPr>
              <w:t>Бр.</w:t>
            </w:r>
          </w:p>
          <w:p w:rsidR="000477C7" w:rsidRPr="000477C7" w:rsidRDefault="000477C7" w:rsidP="000477C7">
            <w:pPr>
              <w:rPr>
                <w:b/>
                <w:lang w:val="sr-Cyrl-CS"/>
              </w:rPr>
            </w:pPr>
          </w:p>
        </w:tc>
        <w:tc>
          <w:tcPr>
            <w:tcW w:w="6946" w:type="dxa"/>
            <w:shd w:val="clear" w:color="auto" w:fill="auto"/>
          </w:tcPr>
          <w:p w:rsidR="000477C7" w:rsidRPr="000477C7" w:rsidRDefault="000477C7" w:rsidP="000477C7">
            <w:pPr>
              <w:rPr>
                <w:b/>
                <w:lang w:val="sr-Cyrl-CS"/>
              </w:rPr>
            </w:pPr>
          </w:p>
          <w:p w:rsidR="000477C7" w:rsidRPr="000477C7" w:rsidRDefault="000477C7" w:rsidP="000477C7">
            <w:pPr>
              <w:rPr>
                <w:b/>
                <w:lang w:val="sr-Cyrl-CS"/>
              </w:rPr>
            </w:pPr>
            <w:r w:rsidRPr="000477C7">
              <w:rPr>
                <w:b/>
                <w:lang w:val="sr-Cyrl-CS"/>
              </w:rPr>
              <w:t>ДЕЛАТНОСТ</w:t>
            </w:r>
          </w:p>
        </w:tc>
        <w:tc>
          <w:tcPr>
            <w:tcW w:w="1518" w:type="dxa"/>
            <w:shd w:val="clear" w:color="auto" w:fill="auto"/>
          </w:tcPr>
          <w:p w:rsidR="000477C7" w:rsidRPr="000477C7" w:rsidRDefault="000477C7" w:rsidP="000477C7">
            <w:pPr>
              <w:rPr>
                <w:b/>
                <w:lang w:val="sr-Cyrl-CS"/>
              </w:rPr>
            </w:pPr>
            <w:r w:rsidRPr="000477C7">
              <w:rPr>
                <w:b/>
                <w:lang w:val="sr-Cyrl-CS"/>
              </w:rPr>
              <w:t>Износ у броју просечних зарада</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1.</w:t>
            </w:r>
          </w:p>
        </w:tc>
        <w:tc>
          <w:tcPr>
            <w:tcW w:w="6946" w:type="dxa"/>
            <w:shd w:val="clear" w:color="auto" w:fill="auto"/>
          </w:tcPr>
          <w:p w:rsidR="000477C7" w:rsidRPr="000477C7" w:rsidRDefault="000477C7" w:rsidP="000477C7">
            <w:pPr>
              <w:rPr>
                <w:b/>
                <w:lang w:val="sr-Cyrl-CS"/>
              </w:rPr>
            </w:pPr>
            <w:r w:rsidRPr="000477C7">
              <w:rPr>
                <w:b/>
                <w:lang w:val="sr-Cyrl-CS"/>
              </w:rPr>
              <w:t>Банкарство</w:t>
            </w:r>
          </w:p>
        </w:tc>
        <w:tc>
          <w:tcPr>
            <w:tcW w:w="1518" w:type="dxa"/>
            <w:shd w:val="clear" w:color="auto" w:fill="auto"/>
          </w:tcPr>
          <w:p w:rsidR="000477C7" w:rsidRPr="000477C7" w:rsidRDefault="000477C7" w:rsidP="000477C7">
            <w:pPr>
              <w:rPr>
                <w:b/>
                <w:lang w:val="sr-Cyrl-CS"/>
              </w:rPr>
            </w:pPr>
            <w:r w:rsidRPr="000477C7">
              <w:rPr>
                <w:b/>
                <w:lang w:val="sr-Cyrl-CS"/>
              </w:rPr>
              <w:t>8</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2.</w:t>
            </w:r>
          </w:p>
        </w:tc>
        <w:tc>
          <w:tcPr>
            <w:tcW w:w="6946" w:type="dxa"/>
            <w:shd w:val="clear" w:color="auto" w:fill="auto"/>
          </w:tcPr>
          <w:p w:rsidR="000477C7" w:rsidRPr="000477C7" w:rsidRDefault="000477C7" w:rsidP="000477C7">
            <w:pPr>
              <w:rPr>
                <w:b/>
                <w:lang w:val="sr-Cyrl-CS"/>
              </w:rPr>
            </w:pPr>
            <w:r w:rsidRPr="000477C7">
              <w:rPr>
                <w:b/>
                <w:lang w:val="sr-Cyrl-CS"/>
              </w:rPr>
              <w:t>Осигурање имовине и лица</w:t>
            </w:r>
          </w:p>
        </w:tc>
        <w:tc>
          <w:tcPr>
            <w:tcW w:w="1518" w:type="dxa"/>
            <w:shd w:val="clear" w:color="auto" w:fill="auto"/>
          </w:tcPr>
          <w:p w:rsidR="000477C7" w:rsidRPr="000477C7" w:rsidRDefault="000477C7" w:rsidP="000477C7">
            <w:pPr>
              <w:rPr>
                <w:b/>
                <w:lang w:val="sr-Cyrl-CS"/>
              </w:rPr>
            </w:pPr>
            <w:r w:rsidRPr="000477C7">
              <w:rPr>
                <w:b/>
                <w:lang w:val="sr-Cyrl-CS"/>
              </w:rPr>
              <w:t>8</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3.</w:t>
            </w:r>
          </w:p>
        </w:tc>
        <w:tc>
          <w:tcPr>
            <w:tcW w:w="6946" w:type="dxa"/>
            <w:shd w:val="clear" w:color="auto" w:fill="auto"/>
          </w:tcPr>
          <w:p w:rsidR="000477C7" w:rsidRPr="000477C7" w:rsidRDefault="000477C7" w:rsidP="000477C7">
            <w:pPr>
              <w:rPr>
                <w:b/>
                <w:lang w:val="sr-Cyrl-CS"/>
              </w:rPr>
            </w:pPr>
            <w:r w:rsidRPr="000477C7">
              <w:rPr>
                <w:b/>
                <w:lang w:val="sr-Cyrl-CS"/>
              </w:rPr>
              <w:t>Производња и трговина нафтом и дериватима нафте</w:t>
            </w:r>
          </w:p>
        </w:tc>
        <w:tc>
          <w:tcPr>
            <w:tcW w:w="1518" w:type="dxa"/>
            <w:shd w:val="clear" w:color="auto" w:fill="auto"/>
          </w:tcPr>
          <w:p w:rsidR="000477C7" w:rsidRPr="000477C7" w:rsidRDefault="000477C7" w:rsidP="000477C7">
            <w:pPr>
              <w:rPr>
                <w:b/>
                <w:lang w:val="sr-Cyrl-CS"/>
              </w:rPr>
            </w:pPr>
            <w:r w:rsidRPr="000477C7">
              <w:rPr>
                <w:b/>
                <w:lang w:val="sr-Cyrl-CS"/>
              </w:rPr>
              <w:t>8</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4.</w:t>
            </w:r>
          </w:p>
        </w:tc>
        <w:tc>
          <w:tcPr>
            <w:tcW w:w="6946" w:type="dxa"/>
            <w:shd w:val="clear" w:color="auto" w:fill="auto"/>
          </w:tcPr>
          <w:p w:rsidR="000477C7" w:rsidRPr="000477C7" w:rsidRDefault="000477C7" w:rsidP="000477C7">
            <w:pPr>
              <w:rPr>
                <w:b/>
                <w:lang w:val="sr-Cyrl-CS"/>
              </w:rPr>
            </w:pPr>
            <w:r w:rsidRPr="000477C7">
              <w:rPr>
                <w:b/>
                <w:lang w:val="sr-Cyrl-CS"/>
              </w:rPr>
              <w:t>Производња трговине на велико дуванским производима</w:t>
            </w:r>
          </w:p>
        </w:tc>
        <w:tc>
          <w:tcPr>
            <w:tcW w:w="1518" w:type="dxa"/>
            <w:shd w:val="clear" w:color="auto" w:fill="auto"/>
          </w:tcPr>
          <w:p w:rsidR="000477C7" w:rsidRPr="000477C7" w:rsidRDefault="000477C7" w:rsidP="000477C7">
            <w:pPr>
              <w:rPr>
                <w:b/>
                <w:lang w:val="sr-Cyrl-CS"/>
              </w:rPr>
            </w:pPr>
            <w:r w:rsidRPr="000477C7">
              <w:rPr>
                <w:b/>
                <w:lang w:val="sr-Cyrl-CS"/>
              </w:rPr>
              <w:t>8</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5.</w:t>
            </w:r>
          </w:p>
        </w:tc>
        <w:tc>
          <w:tcPr>
            <w:tcW w:w="6946" w:type="dxa"/>
            <w:shd w:val="clear" w:color="auto" w:fill="auto"/>
          </w:tcPr>
          <w:p w:rsidR="000477C7" w:rsidRPr="000477C7" w:rsidRDefault="000477C7" w:rsidP="000477C7">
            <w:pPr>
              <w:rPr>
                <w:b/>
                <w:lang w:val="sr-Cyrl-CS"/>
              </w:rPr>
            </w:pPr>
            <w:r w:rsidRPr="000477C7">
              <w:rPr>
                <w:b/>
                <w:lang w:val="sr-Cyrl-CS"/>
              </w:rPr>
              <w:t>Производња цемента</w:t>
            </w:r>
          </w:p>
        </w:tc>
        <w:tc>
          <w:tcPr>
            <w:tcW w:w="1518" w:type="dxa"/>
            <w:shd w:val="clear" w:color="auto" w:fill="auto"/>
          </w:tcPr>
          <w:p w:rsidR="000477C7" w:rsidRPr="000477C7" w:rsidRDefault="000477C7" w:rsidP="000477C7">
            <w:pPr>
              <w:rPr>
                <w:b/>
                <w:lang w:val="sr-Cyrl-CS"/>
              </w:rPr>
            </w:pPr>
            <w:r w:rsidRPr="000477C7">
              <w:rPr>
                <w:b/>
                <w:lang w:val="sr-Cyrl-CS"/>
              </w:rPr>
              <w:t>7</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6.</w:t>
            </w:r>
          </w:p>
        </w:tc>
        <w:tc>
          <w:tcPr>
            <w:tcW w:w="6946" w:type="dxa"/>
            <w:shd w:val="clear" w:color="auto" w:fill="auto"/>
          </w:tcPr>
          <w:p w:rsidR="000477C7" w:rsidRPr="000477C7" w:rsidRDefault="000477C7" w:rsidP="000477C7">
            <w:pPr>
              <w:rPr>
                <w:b/>
                <w:lang w:val="sr-Cyrl-CS"/>
              </w:rPr>
            </w:pPr>
            <w:r w:rsidRPr="000477C7">
              <w:rPr>
                <w:b/>
                <w:lang w:val="sr-Cyrl-CS"/>
              </w:rPr>
              <w:t>Поштанских, мобилних и телефонских услуга</w:t>
            </w:r>
          </w:p>
        </w:tc>
        <w:tc>
          <w:tcPr>
            <w:tcW w:w="1518" w:type="dxa"/>
            <w:shd w:val="clear" w:color="auto" w:fill="auto"/>
          </w:tcPr>
          <w:p w:rsidR="000477C7" w:rsidRPr="000477C7" w:rsidRDefault="000477C7" w:rsidP="000477C7">
            <w:pPr>
              <w:rPr>
                <w:b/>
                <w:lang w:val="sr-Cyrl-CS"/>
              </w:rPr>
            </w:pPr>
            <w:r w:rsidRPr="000477C7">
              <w:rPr>
                <w:b/>
                <w:lang w:val="sr-Cyrl-CS"/>
              </w:rPr>
              <w:t>6</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7.</w:t>
            </w:r>
          </w:p>
        </w:tc>
        <w:tc>
          <w:tcPr>
            <w:tcW w:w="6946" w:type="dxa"/>
            <w:shd w:val="clear" w:color="auto" w:fill="auto"/>
          </w:tcPr>
          <w:p w:rsidR="000477C7" w:rsidRPr="000477C7" w:rsidRDefault="000477C7" w:rsidP="000477C7">
            <w:pPr>
              <w:rPr>
                <w:b/>
                <w:lang w:val="sr-Cyrl-CS"/>
              </w:rPr>
            </w:pPr>
            <w:r w:rsidRPr="000477C7">
              <w:rPr>
                <w:b/>
                <w:lang w:val="sr-Cyrl-CS"/>
              </w:rPr>
              <w:t>Електропривреде</w:t>
            </w:r>
          </w:p>
          <w:tbl>
            <w:tblPr>
              <w:tblStyle w:val="TableGrid"/>
              <w:tblW w:w="0" w:type="auto"/>
              <w:tblLook w:val="04A0" w:firstRow="1" w:lastRow="0" w:firstColumn="1" w:lastColumn="0" w:noHBand="0" w:noVBand="1"/>
            </w:tblPr>
            <w:tblGrid>
              <w:gridCol w:w="6715"/>
            </w:tblGrid>
            <w:tr w:rsidR="000477C7" w:rsidRPr="000477C7" w:rsidTr="00C309D3">
              <w:tc>
                <w:tcPr>
                  <w:tcW w:w="6715" w:type="dxa"/>
                </w:tcPr>
                <w:p w:rsidR="000477C7" w:rsidRPr="000477C7" w:rsidRDefault="000477C7" w:rsidP="000477C7">
                  <w:pPr>
                    <w:spacing w:after="200" w:line="276" w:lineRule="auto"/>
                    <w:rPr>
                      <w:b/>
                      <w:lang w:val="sr-Cyrl-CS"/>
                    </w:rPr>
                  </w:pPr>
                  <w:r w:rsidRPr="000477C7">
                    <w:rPr>
                      <w:b/>
                      <w:lang w:val="sr-Cyrl-CS"/>
                    </w:rPr>
                    <w:t xml:space="preserve"> 7/1 Дистрибуција електричне енергије</w:t>
                  </w:r>
                </w:p>
              </w:tc>
            </w:tr>
            <w:tr w:rsidR="000477C7" w:rsidRPr="000477C7" w:rsidTr="00C309D3">
              <w:tc>
                <w:tcPr>
                  <w:tcW w:w="6715" w:type="dxa"/>
                </w:tcPr>
                <w:p w:rsidR="000477C7" w:rsidRPr="000477C7" w:rsidRDefault="000477C7" w:rsidP="000477C7">
                  <w:pPr>
                    <w:spacing w:after="200" w:line="276" w:lineRule="auto"/>
                    <w:rPr>
                      <w:b/>
                      <w:lang w:val="sr-Cyrl-CS"/>
                    </w:rPr>
                  </w:pPr>
                  <w:r w:rsidRPr="000477C7">
                    <w:rPr>
                      <w:b/>
                      <w:lang w:val="sr-Cyrl-CS"/>
                    </w:rPr>
                    <w:t xml:space="preserve"> 7/2  Производња електричне енергије</w:t>
                  </w:r>
                </w:p>
              </w:tc>
            </w:tr>
          </w:tbl>
          <w:p w:rsidR="000477C7" w:rsidRPr="000477C7" w:rsidRDefault="000477C7" w:rsidP="000477C7">
            <w:pPr>
              <w:rPr>
                <w:b/>
                <w:lang w:val="sr-Cyrl-CS"/>
              </w:rPr>
            </w:pPr>
          </w:p>
        </w:tc>
        <w:tc>
          <w:tcPr>
            <w:tcW w:w="1518" w:type="dxa"/>
            <w:shd w:val="clear" w:color="auto" w:fill="auto"/>
          </w:tcPr>
          <w:p w:rsidR="000477C7" w:rsidRPr="000477C7" w:rsidRDefault="000477C7" w:rsidP="000477C7">
            <w:pPr>
              <w:rPr>
                <w:b/>
                <w:lang w:val="sr-Cyrl-CS"/>
              </w:rPr>
            </w:pPr>
            <w:r w:rsidRPr="000477C7">
              <w:rPr>
                <w:b/>
                <w:lang w:val="sr-Cyrl-CS"/>
              </w:rPr>
              <w:t>10</w:t>
            </w:r>
          </w:p>
          <w:tbl>
            <w:tblPr>
              <w:tblStyle w:val="TableGrid"/>
              <w:tblW w:w="0" w:type="auto"/>
              <w:tblLook w:val="04A0" w:firstRow="1" w:lastRow="0" w:firstColumn="1" w:lastColumn="0" w:noHBand="0" w:noVBand="1"/>
            </w:tblPr>
            <w:tblGrid>
              <w:gridCol w:w="1287"/>
            </w:tblGrid>
            <w:tr w:rsidR="000477C7" w:rsidRPr="000477C7" w:rsidTr="00C309D3">
              <w:tc>
                <w:tcPr>
                  <w:tcW w:w="1287" w:type="dxa"/>
                </w:tcPr>
                <w:p w:rsidR="000477C7" w:rsidRPr="000477C7" w:rsidRDefault="000477C7" w:rsidP="000477C7">
                  <w:pPr>
                    <w:spacing w:after="200" w:line="276" w:lineRule="auto"/>
                    <w:rPr>
                      <w:b/>
                    </w:rPr>
                  </w:pPr>
                  <w:r w:rsidRPr="000477C7">
                    <w:rPr>
                      <w:b/>
                    </w:rPr>
                    <w:t>10</w:t>
                  </w:r>
                </w:p>
              </w:tc>
            </w:tr>
            <w:tr w:rsidR="000477C7" w:rsidRPr="000477C7" w:rsidTr="00C309D3">
              <w:tc>
                <w:tcPr>
                  <w:tcW w:w="1287" w:type="dxa"/>
                </w:tcPr>
                <w:p w:rsidR="000477C7" w:rsidRPr="000477C7" w:rsidRDefault="000477C7" w:rsidP="000477C7">
                  <w:pPr>
                    <w:spacing w:after="200" w:line="276" w:lineRule="auto"/>
                    <w:rPr>
                      <w:b/>
                    </w:rPr>
                  </w:pPr>
                  <w:r w:rsidRPr="000477C7">
                    <w:rPr>
                      <w:b/>
                    </w:rPr>
                    <w:t>5</w:t>
                  </w:r>
                </w:p>
              </w:tc>
            </w:tr>
          </w:tbl>
          <w:p w:rsidR="000477C7" w:rsidRPr="000477C7" w:rsidRDefault="000477C7" w:rsidP="000477C7">
            <w:pPr>
              <w:rPr>
                <w:b/>
                <w:lang w:val="sr-Cyrl-CS"/>
              </w:rPr>
            </w:pP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8.</w:t>
            </w:r>
          </w:p>
        </w:tc>
        <w:tc>
          <w:tcPr>
            <w:tcW w:w="6946" w:type="dxa"/>
            <w:shd w:val="clear" w:color="auto" w:fill="auto"/>
          </w:tcPr>
          <w:p w:rsidR="000477C7" w:rsidRPr="000477C7" w:rsidRDefault="000477C7" w:rsidP="000477C7">
            <w:pPr>
              <w:rPr>
                <w:b/>
                <w:lang w:val="sr-Cyrl-CS"/>
              </w:rPr>
            </w:pPr>
            <w:r w:rsidRPr="000477C7">
              <w:rPr>
                <w:b/>
                <w:lang w:val="sr-Cyrl-CS"/>
              </w:rPr>
              <w:t>Казина, концкарнице, кладионице, бинго сала и пружање коцкарских услуга и ноћних барова и дискотека</w:t>
            </w:r>
          </w:p>
        </w:tc>
        <w:tc>
          <w:tcPr>
            <w:tcW w:w="1518" w:type="dxa"/>
            <w:shd w:val="clear" w:color="auto" w:fill="auto"/>
          </w:tcPr>
          <w:p w:rsidR="000477C7" w:rsidRPr="000477C7" w:rsidRDefault="000477C7" w:rsidP="000477C7">
            <w:pPr>
              <w:rPr>
                <w:b/>
                <w:lang w:val="sr-Cyrl-CS"/>
              </w:rPr>
            </w:pPr>
          </w:p>
          <w:p w:rsidR="000477C7" w:rsidRPr="000477C7" w:rsidRDefault="000477C7" w:rsidP="000477C7">
            <w:pPr>
              <w:rPr>
                <w:b/>
                <w:lang w:val="sr-Cyrl-CS"/>
              </w:rPr>
            </w:pPr>
            <w:r w:rsidRPr="000477C7">
              <w:rPr>
                <w:b/>
                <w:lang w:val="sr-Cyrl-CS"/>
              </w:rPr>
              <w:t>10</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9.</w:t>
            </w:r>
          </w:p>
        </w:tc>
        <w:tc>
          <w:tcPr>
            <w:tcW w:w="6946" w:type="dxa"/>
            <w:shd w:val="clear" w:color="auto" w:fill="auto"/>
          </w:tcPr>
          <w:p w:rsidR="000477C7" w:rsidRPr="000477C7" w:rsidRDefault="000477C7" w:rsidP="000477C7">
            <w:pPr>
              <w:rPr>
                <w:b/>
                <w:lang w:val="sr-Cyrl-CS"/>
              </w:rPr>
            </w:pPr>
            <w:r w:rsidRPr="000477C7">
              <w:rPr>
                <w:b/>
                <w:lang w:val="sr-Cyrl-CS"/>
              </w:rPr>
              <w:t>Велика предузећа</w:t>
            </w:r>
          </w:p>
        </w:tc>
        <w:tc>
          <w:tcPr>
            <w:tcW w:w="1518" w:type="dxa"/>
            <w:shd w:val="clear" w:color="auto" w:fill="auto"/>
          </w:tcPr>
          <w:p w:rsidR="000477C7" w:rsidRPr="000477C7" w:rsidRDefault="000477C7" w:rsidP="000477C7">
            <w:pPr>
              <w:rPr>
                <w:b/>
                <w:lang w:val="sr-Cyrl-CS"/>
              </w:rPr>
            </w:pPr>
            <w:r w:rsidRPr="000477C7">
              <w:rPr>
                <w:b/>
                <w:lang w:val="sr-Cyrl-CS"/>
              </w:rPr>
              <w:t>2</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10.</w:t>
            </w:r>
          </w:p>
        </w:tc>
        <w:tc>
          <w:tcPr>
            <w:tcW w:w="6946" w:type="dxa"/>
            <w:shd w:val="clear" w:color="auto" w:fill="auto"/>
          </w:tcPr>
          <w:p w:rsidR="000477C7" w:rsidRPr="000477C7" w:rsidRDefault="000477C7" w:rsidP="000477C7">
            <w:pPr>
              <w:rPr>
                <w:b/>
                <w:lang w:val="sr-Cyrl-CS"/>
              </w:rPr>
            </w:pPr>
            <w:r w:rsidRPr="000477C7">
              <w:rPr>
                <w:b/>
                <w:lang w:val="sr-Cyrl-CS"/>
              </w:rPr>
              <w:t>Средња предузећа</w:t>
            </w:r>
          </w:p>
        </w:tc>
        <w:tc>
          <w:tcPr>
            <w:tcW w:w="1518" w:type="dxa"/>
            <w:shd w:val="clear" w:color="auto" w:fill="auto"/>
          </w:tcPr>
          <w:p w:rsidR="000477C7" w:rsidRPr="000477C7" w:rsidRDefault="000477C7" w:rsidP="000477C7">
            <w:pPr>
              <w:rPr>
                <w:b/>
                <w:lang w:val="sr-Cyrl-CS"/>
              </w:rPr>
            </w:pPr>
            <w:r w:rsidRPr="000477C7">
              <w:rPr>
                <w:b/>
                <w:lang w:val="sr-Cyrl-CS"/>
              </w:rPr>
              <w:t>1</w:t>
            </w:r>
          </w:p>
        </w:tc>
      </w:tr>
      <w:tr w:rsidR="000477C7" w:rsidRPr="000477C7" w:rsidTr="00C309D3">
        <w:tc>
          <w:tcPr>
            <w:tcW w:w="392" w:type="dxa"/>
            <w:shd w:val="clear" w:color="auto" w:fill="auto"/>
          </w:tcPr>
          <w:p w:rsidR="000477C7" w:rsidRPr="000477C7" w:rsidRDefault="000477C7" w:rsidP="000477C7">
            <w:pPr>
              <w:rPr>
                <w:b/>
                <w:lang w:val="sr-Cyrl-CS"/>
              </w:rPr>
            </w:pPr>
            <w:r w:rsidRPr="000477C7">
              <w:rPr>
                <w:b/>
                <w:lang w:val="sr-Cyrl-CS"/>
              </w:rPr>
              <w:t>11.</w:t>
            </w:r>
          </w:p>
        </w:tc>
        <w:tc>
          <w:tcPr>
            <w:tcW w:w="6946" w:type="dxa"/>
            <w:shd w:val="clear" w:color="auto" w:fill="auto"/>
          </w:tcPr>
          <w:p w:rsidR="000477C7" w:rsidRPr="000477C7" w:rsidRDefault="000477C7" w:rsidP="000477C7">
            <w:pPr>
              <w:rPr>
                <w:b/>
                <w:lang w:val="sr-Cyrl-CS"/>
              </w:rPr>
            </w:pPr>
            <w:r w:rsidRPr="000477C7">
              <w:rPr>
                <w:b/>
                <w:lang w:val="sr-Cyrl-CS"/>
              </w:rPr>
              <w:t>Мала и микро предузећа-преко 50.000.000,оо динара</w:t>
            </w:r>
          </w:p>
        </w:tc>
        <w:tc>
          <w:tcPr>
            <w:tcW w:w="1518" w:type="dxa"/>
            <w:shd w:val="clear" w:color="auto" w:fill="auto"/>
          </w:tcPr>
          <w:p w:rsidR="000477C7" w:rsidRPr="000477C7" w:rsidRDefault="000477C7" w:rsidP="000477C7">
            <w:pPr>
              <w:rPr>
                <w:b/>
                <w:lang w:val="sr-Cyrl-CS"/>
              </w:rPr>
            </w:pPr>
            <w:r w:rsidRPr="000477C7">
              <w:rPr>
                <w:b/>
                <w:lang w:val="sr-Cyrl-CS"/>
              </w:rPr>
              <w:t>1</w:t>
            </w:r>
          </w:p>
        </w:tc>
      </w:tr>
    </w:tbl>
    <w:p w:rsidR="000477C7" w:rsidRPr="000477C7" w:rsidRDefault="000477C7" w:rsidP="000477C7">
      <w:pPr>
        <w:rPr>
          <w:b/>
          <w:lang w:val="sr-Cyrl-CS"/>
        </w:rPr>
      </w:pPr>
      <w:r w:rsidRPr="000477C7">
        <w:rPr>
          <w:b/>
          <w:lang w:val="sr-Cyrl-CS"/>
        </w:rPr>
        <w:t xml:space="preserve">    </w:t>
      </w:r>
    </w:p>
    <w:p w:rsidR="000477C7" w:rsidRPr="000477C7" w:rsidRDefault="000477C7" w:rsidP="000477C7">
      <w:pPr>
        <w:rPr>
          <w:b/>
          <w:lang w:val="sr-Cyrl-CS"/>
        </w:rPr>
      </w:pPr>
      <w:r w:rsidRPr="000477C7">
        <w:rPr>
          <w:b/>
          <w:lang w:val="sr-Cyrl-CS"/>
        </w:rPr>
        <w:t xml:space="preserve">  НАПОМЕНА:</w:t>
      </w:r>
    </w:p>
    <w:p w:rsidR="000477C7" w:rsidRPr="000477C7" w:rsidRDefault="000477C7" w:rsidP="003C18F7">
      <w:pPr>
        <w:jc w:val="both"/>
        <w:rPr>
          <w:b/>
          <w:lang w:val="sr-Cyrl-CS"/>
        </w:rPr>
      </w:pPr>
      <w:r w:rsidRPr="000477C7">
        <w:rPr>
          <w:b/>
          <w:lang w:val="sr-Cyrl-CS"/>
        </w:rPr>
        <w:lastRenderedPageBreak/>
        <w:tab/>
        <w:t>Под просечном зарадом у смислу претходног става, сматра се просечна зарада по запосленом остварена на територији општине Куршумлија у периоду јануар-август, године која претходи години за коју се утврђује фирмарина, према подацима Републичког органа надлежног за послове статистике.</w:t>
      </w:r>
    </w:p>
    <w:p w:rsidR="000477C7" w:rsidRPr="000477C7" w:rsidRDefault="000477C7" w:rsidP="003C18F7">
      <w:pPr>
        <w:jc w:val="both"/>
        <w:rPr>
          <w:b/>
          <w:lang w:val="sr-Cyrl-CS"/>
        </w:rPr>
      </w:pPr>
      <w:r w:rsidRPr="000477C7">
        <w:rPr>
          <w:b/>
          <w:lang w:val="sr-Cyrl-CS"/>
        </w:rPr>
        <w:tab/>
        <w:t>Изузетно, Општинска управа општине Куршумлија може утврдити и већи износ фирмарине уз претходну сагласност Министарства надлежног за финансије.</w:t>
      </w:r>
    </w:p>
    <w:p w:rsidR="000477C7" w:rsidRPr="000477C7" w:rsidRDefault="000477C7" w:rsidP="003C18F7">
      <w:pPr>
        <w:jc w:val="both"/>
        <w:rPr>
          <w:b/>
          <w:lang w:val="sr-Cyrl-CS"/>
        </w:rPr>
      </w:pPr>
      <w:r w:rsidRPr="000477C7">
        <w:rPr>
          <w:b/>
          <w:lang w:val="sr-Cyrl-CS"/>
        </w:rPr>
        <w:t xml:space="preserve">              Обвезници локалне комуналне таксе за истицање фирме на пословном простору су  правна и  физичка лица који су уписани у регистар АПР.</w:t>
      </w:r>
    </w:p>
    <w:p w:rsidR="000477C7" w:rsidRPr="000477C7" w:rsidRDefault="000477C7" w:rsidP="003C18F7">
      <w:pPr>
        <w:jc w:val="both"/>
        <w:rPr>
          <w:b/>
          <w:lang w:val="sr-Cyrl-CS"/>
        </w:rPr>
      </w:pPr>
      <w:r w:rsidRPr="000477C7">
        <w:rPr>
          <w:b/>
          <w:lang w:val="sr-Cyrl-CS"/>
        </w:rPr>
        <w:t xml:space="preserve">             Ако се на једном пословном објекту налази више истакнутих фирми истог обвезника, такса се плаћа само за једну фирму.</w:t>
      </w:r>
    </w:p>
    <w:p w:rsidR="000477C7" w:rsidRPr="000477C7" w:rsidRDefault="000477C7" w:rsidP="003C18F7">
      <w:pPr>
        <w:jc w:val="both"/>
        <w:rPr>
          <w:b/>
          <w:lang w:val="sr-Cyrl-CS"/>
        </w:rPr>
      </w:pPr>
      <w:r w:rsidRPr="000477C7">
        <w:rPr>
          <w:b/>
          <w:lang w:val="sr-Cyrl-CS"/>
        </w:rPr>
        <w:t xml:space="preserve">             За сваку фирму истакнуту ван пословног објекта плаћа се такса за сваку истакнуту фирму.</w:t>
      </w:r>
    </w:p>
    <w:p w:rsidR="000477C7" w:rsidRPr="000477C7" w:rsidRDefault="003C18F7" w:rsidP="00EA1557">
      <w:pPr>
        <w:jc w:val="both"/>
        <w:rPr>
          <w:b/>
          <w:lang w:val="sr-Cyrl-CS"/>
        </w:rPr>
      </w:pPr>
      <w:r>
        <w:rPr>
          <w:b/>
          <w:lang w:val="sr-Cyrl-CS"/>
        </w:rPr>
        <w:t xml:space="preserve">           </w:t>
      </w:r>
      <w:r w:rsidR="000477C7" w:rsidRPr="000477C7">
        <w:rPr>
          <w:b/>
          <w:lang w:val="sr-Cyrl-CS"/>
        </w:rPr>
        <w:t xml:space="preserve"> Ослобођени су плаћања локалне таксе из овог тарифног броја обвезници који имају статус мировања(привремена одјава)</w:t>
      </w:r>
      <w:r w:rsidR="00EA1557">
        <w:rPr>
          <w:b/>
          <w:lang w:val="sr-Cyrl-CS"/>
        </w:rPr>
        <w:t>.</w:t>
      </w:r>
    </w:p>
    <w:p w:rsidR="000477C7" w:rsidRPr="000477C7" w:rsidRDefault="000477C7" w:rsidP="000477C7">
      <w:pPr>
        <w:rPr>
          <w:b/>
          <w:lang w:val="sr-Cyrl-CS"/>
        </w:rPr>
      </w:pPr>
      <w:r w:rsidRPr="000477C7">
        <w:rPr>
          <w:b/>
          <w:lang w:val="sr-Cyrl-CS"/>
        </w:rPr>
        <w:tab/>
        <w:t xml:space="preserve"> Такса  по овом тарифном броју, утврђује се у годишњем износу.</w:t>
      </w:r>
    </w:p>
    <w:p w:rsidR="000477C7" w:rsidRPr="000477C7" w:rsidRDefault="000477C7" w:rsidP="00EA1557">
      <w:pPr>
        <w:jc w:val="both"/>
        <w:rPr>
          <w:b/>
          <w:lang w:val="sr-Cyrl-CS"/>
        </w:rPr>
      </w:pPr>
      <w:r w:rsidRPr="000477C7">
        <w:rPr>
          <w:b/>
          <w:lang w:val="sr-Cyrl-CS"/>
        </w:rPr>
        <w:tab/>
        <w:t xml:space="preserve">  Обвезници из овог тарифног броја су правна или физичка лица.</w:t>
      </w:r>
      <w:r w:rsidR="00EA1557">
        <w:rPr>
          <w:b/>
          <w:lang w:val="sr-Cyrl-CS"/>
        </w:rPr>
        <w:t xml:space="preserve"> </w:t>
      </w:r>
      <w:r w:rsidRPr="000477C7">
        <w:rPr>
          <w:b/>
          <w:lang w:val="sr-Cyrl-CS"/>
        </w:rPr>
        <w:t>Такса на фирму плаћа се за седиште,</w:t>
      </w:r>
      <w:r w:rsidR="00EA1557">
        <w:rPr>
          <w:b/>
          <w:lang w:val="sr-Cyrl-CS"/>
        </w:rPr>
        <w:t xml:space="preserve"> </w:t>
      </w:r>
      <w:r w:rsidRPr="000477C7">
        <w:rPr>
          <w:b/>
          <w:lang w:val="sr-Cyrl-CS"/>
        </w:rPr>
        <w:t>представништво или сваку пословну јединицу правног лица на територију Општине Куршумлија.</w:t>
      </w:r>
    </w:p>
    <w:p w:rsidR="000477C7" w:rsidRPr="000477C7" w:rsidRDefault="000477C7" w:rsidP="00EA1557">
      <w:pPr>
        <w:jc w:val="both"/>
        <w:rPr>
          <w:b/>
          <w:lang w:val="sr-Cyrl-CS"/>
        </w:rPr>
      </w:pPr>
      <w:r w:rsidRPr="000477C7">
        <w:rPr>
          <w:b/>
          <w:lang w:val="sr-Cyrl-CS"/>
        </w:rPr>
        <w:tab/>
        <w:t xml:space="preserve"> Таксени обвезници, чије је седиште на територији општине Куршумлија и таксени обвезници чије је седиште ван територије општине Куршумлија,комуналну таксу утврђену овим тарифним бројем плаћају за један пословни објекат, а за сваки други пословни објекат плаћају комуналну таксу умањену за 80%. </w:t>
      </w:r>
    </w:p>
    <w:p w:rsidR="000477C7" w:rsidRPr="000477C7" w:rsidRDefault="000477C7" w:rsidP="00EA1557">
      <w:pPr>
        <w:jc w:val="both"/>
        <w:rPr>
          <w:b/>
          <w:lang w:val="sr-Cyrl-CS"/>
        </w:rPr>
      </w:pPr>
      <w:r w:rsidRPr="000477C7">
        <w:rPr>
          <w:b/>
          <w:lang w:val="sr-Cyrl-CS"/>
        </w:rPr>
        <w:tab/>
        <w:t xml:space="preserve"> Од обавезе плаћања таксе по овом тарифном броју , изузимају се установе                       чији је  оснивач Скупштина Општине, удружење грађана, хуманитарне,  спортске и друге непрофитне организације.</w:t>
      </w:r>
    </w:p>
    <w:p w:rsidR="000477C7" w:rsidRDefault="000477C7" w:rsidP="00EA1557">
      <w:pPr>
        <w:jc w:val="both"/>
        <w:rPr>
          <w:b/>
          <w:lang w:val="sr-Cyrl-CS"/>
        </w:rPr>
      </w:pPr>
      <w:r w:rsidRPr="000477C7">
        <w:rPr>
          <w:b/>
          <w:lang w:val="sr-Cyrl-CS"/>
        </w:rPr>
        <w:t xml:space="preserve"> </w:t>
      </w:r>
      <w:r w:rsidRPr="000477C7">
        <w:rPr>
          <w:b/>
          <w:lang w:val="sr-Cyrl-CS"/>
        </w:rPr>
        <w:tab/>
        <w:t>Такса по овом тарифном броју плаћа се месечно, у висини 1/12 годишњег износа таксе, и то до 15-ог у месецу, за претходни месец.</w:t>
      </w:r>
    </w:p>
    <w:p w:rsidR="00EA1557" w:rsidRPr="00EA1557" w:rsidRDefault="00EA1557" w:rsidP="00EA1557">
      <w:pPr>
        <w:jc w:val="both"/>
        <w:rPr>
          <w:b/>
          <w:lang w:val="sr-Cyrl-CS"/>
        </w:rPr>
      </w:pPr>
    </w:p>
    <w:p w:rsidR="000477C7" w:rsidRPr="000477C7" w:rsidRDefault="000477C7" w:rsidP="00EA1557">
      <w:pPr>
        <w:jc w:val="center"/>
        <w:rPr>
          <w:b/>
          <w:lang w:val="sr-Cyrl-CS"/>
        </w:rPr>
      </w:pPr>
      <w:r w:rsidRPr="000477C7">
        <w:rPr>
          <w:b/>
          <w:lang w:val="sr-Cyrl-CS"/>
        </w:rPr>
        <w:t>Тарифни бр. 2</w:t>
      </w:r>
    </w:p>
    <w:p w:rsidR="000477C7" w:rsidRPr="000477C7" w:rsidRDefault="000477C7" w:rsidP="000477C7">
      <w:pPr>
        <w:rPr>
          <w:b/>
          <w:lang w:val="sr-Cyrl-CS"/>
        </w:rPr>
      </w:pPr>
      <w:r w:rsidRPr="000477C7">
        <w:rPr>
          <w:b/>
          <w:lang w:val="sr-Cyrl-CS"/>
        </w:rPr>
        <w:tab/>
        <w:t>За држање моторних, друмских и прикључних возила, осим пољопривредних возила и машина утврђује се локална комунална такса која се плаћа приликом регистрације возила и то:</w:t>
      </w:r>
    </w:p>
    <w:p w:rsidR="000477C7" w:rsidRDefault="000477C7" w:rsidP="000477C7">
      <w:pPr>
        <w:rPr>
          <w:b/>
          <w:lang w:val="sr-Cyrl-CS"/>
        </w:rPr>
      </w:pPr>
    </w:p>
    <w:p w:rsidR="00EA1557" w:rsidRPr="000477C7" w:rsidRDefault="00EA1557" w:rsidP="000477C7">
      <w:pPr>
        <w:rPr>
          <w:b/>
          <w:lang w:val="sr-Cyrl-CS"/>
        </w:rPr>
      </w:pPr>
    </w:p>
    <w:p w:rsidR="000477C7" w:rsidRPr="000477C7" w:rsidRDefault="000477C7" w:rsidP="000477C7">
      <w:pPr>
        <w:numPr>
          <w:ilvl w:val="0"/>
          <w:numId w:val="3"/>
        </w:numPr>
        <w:rPr>
          <w:b/>
          <w:lang w:val="sr-Cyrl-CS"/>
        </w:rPr>
      </w:pPr>
      <w:r w:rsidRPr="000477C7">
        <w:rPr>
          <w:b/>
          <w:lang w:val="sr-Cyrl-CS"/>
        </w:rPr>
        <w:lastRenderedPageBreak/>
        <w:t>За теретна возила:</w:t>
      </w:r>
    </w:p>
    <w:p w:rsidR="000477C7" w:rsidRPr="000477C7" w:rsidRDefault="000477C7" w:rsidP="000477C7">
      <w:pPr>
        <w:numPr>
          <w:ilvl w:val="0"/>
          <w:numId w:val="1"/>
        </w:numPr>
        <w:rPr>
          <w:b/>
          <w:lang w:val="sr-Cyrl-CS"/>
        </w:rPr>
      </w:pPr>
      <w:r w:rsidRPr="000477C7">
        <w:rPr>
          <w:b/>
          <w:lang w:val="sr-Cyrl-CS"/>
        </w:rPr>
        <w:t>За камионе до 2 т носивости                    1.730 динара,</w:t>
      </w:r>
    </w:p>
    <w:p w:rsidR="000477C7" w:rsidRPr="000477C7" w:rsidRDefault="000477C7" w:rsidP="000477C7">
      <w:pPr>
        <w:numPr>
          <w:ilvl w:val="0"/>
          <w:numId w:val="1"/>
        </w:numPr>
        <w:rPr>
          <w:b/>
          <w:lang w:val="sr-Cyrl-CS"/>
        </w:rPr>
      </w:pPr>
      <w:r w:rsidRPr="000477C7">
        <w:rPr>
          <w:b/>
          <w:lang w:val="sr-Cyrl-CS"/>
        </w:rPr>
        <w:t>За камионе од 2 т до 5 т носивости        2.300  динара,</w:t>
      </w:r>
    </w:p>
    <w:p w:rsidR="000477C7" w:rsidRPr="000477C7" w:rsidRDefault="000477C7" w:rsidP="000477C7">
      <w:pPr>
        <w:numPr>
          <w:ilvl w:val="0"/>
          <w:numId w:val="1"/>
        </w:numPr>
        <w:rPr>
          <w:b/>
          <w:lang w:val="sr-Cyrl-CS"/>
        </w:rPr>
      </w:pPr>
      <w:r w:rsidRPr="000477C7">
        <w:rPr>
          <w:b/>
          <w:lang w:val="sr-Cyrl-CS"/>
        </w:rPr>
        <w:t>За камионе од 5 т до 12 т носивости      4.020 динара,</w:t>
      </w:r>
    </w:p>
    <w:p w:rsidR="000477C7" w:rsidRPr="000477C7" w:rsidRDefault="000477C7" w:rsidP="000477C7">
      <w:pPr>
        <w:numPr>
          <w:ilvl w:val="0"/>
          <w:numId w:val="1"/>
        </w:numPr>
        <w:rPr>
          <w:b/>
          <w:lang w:val="sr-Cyrl-CS"/>
        </w:rPr>
      </w:pPr>
      <w:r w:rsidRPr="000477C7">
        <w:rPr>
          <w:b/>
          <w:lang w:val="sr-Cyrl-CS"/>
        </w:rPr>
        <w:t>За камионе преко 12 т носивости           5.740 динара.</w:t>
      </w:r>
    </w:p>
    <w:p w:rsidR="000477C7" w:rsidRPr="000477C7" w:rsidRDefault="000477C7" w:rsidP="000477C7">
      <w:pPr>
        <w:rPr>
          <w:b/>
          <w:lang w:val="sr-Cyrl-CS"/>
        </w:rPr>
      </w:pPr>
    </w:p>
    <w:p w:rsidR="000477C7" w:rsidRPr="000477C7" w:rsidRDefault="000477C7" w:rsidP="000477C7">
      <w:pPr>
        <w:numPr>
          <w:ilvl w:val="0"/>
          <w:numId w:val="2"/>
        </w:numPr>
        <w:rPr>
          <w:b/>
          <w:lang w:val="sr-Cyrl-CS"/>
        </w:rPr>
      </w:pPr>
      <w:r w:rsidRPr="000477C7">
        <w:rPr>
          <w:b/>
          <w:lang w:val="sr-Cyrl-CS"/>
        </w:rPr>
        <w:t>За теретне и радне приколице (за путничке аутомобиле)  570 динара;</w:t>
      </w:r>
    </w:p>
    <w:p w:rsidR="000477C7" w:rsidRPr="000477C7" w:rsidRDefault="000477C7" w:rsidP="000477C7">
      <w:pPr>
        <w:numPr>
          <w:ilvl w:val="0"/>
          <w:numId w:val="2"/>
        </w:numPr>
        <w:rPr>
          <w:b/>
          <w:lang w:val="sr-Cyrl-CS"/>
        </w:rPr>
      </w:pPr>
      <w:r w:rsidRPr="000477C7">
        <w:rPr>
          <w:b/>
          <w:lang w:val="sr-Cyrl-CS"/>
        </w:rPr>
        <w:t>За путничка возила:</w:t>
      </w:r>
    </w:p>
    <w:p w:rsidR="000477C7" w:rsidRPr="000477C7" w:rsidRDefault="000477C7" w:rsidP="000477C7">
      <w:pPr>
        <w:numPr>
          <w:ilvl w:val="0"/>
          <w:numId w:val="1"/>
        </w:numPr>
        <w:rPr>
          <w:b/>
          <w:lang w:val="sr-Cyrl-CS"/>
        </w:rPr>
      </w:pPr>
      <w:r w:rsidRPr="000477C7">
        <w:rPr>
          <w:b/>
          <w:lang w:val="sr-Cyrl-CS"/>
        </w:rPr>
        <w:t>До 1.150 цм3 -                                                 570 динара,</w:t>
      </w:r>
    </w:p>
    <w:p w:rsidR="000477C7" w:rsidRPr="000477C7" w:rsidRDefault="000477C7" w:rsidP="000477C7">
      <w:pPr>
        <w:numPr>
          <w:ilvl w:val="0"/>
          <w:numId w:val="1"/>
        </w:numPr>
        <w:rPr>
          <w:b/>
          <w:lang w:val="sr-Cyrl-CS"/>
        </w:rPr>
      </w:pPr>
      <w:r w:rsidRPr="000477C7">
        <w:rPr>
          <w:b/>
          <w:lang w:val="sr-Cyrl-CS"/>
        </w:rPr>
        <w:t>Преко 1.150 цм3 до 1.300 цм3                 1.140 динара,</w:t>
      </w:r>
    </w:p>
    <w:p w:rsidR="000477C7" w:rsidRPr="000477C7" w:rsidRDefault="000477C7" w:rsidP="000477C7">
      <w:pPr>
        <w:numPr>
          <w:ilvl w:val="0"/>
          <w:numId w:val="1"/>
        </w:numPr>
        <w:rPr>
          <w:b/>
          <w:lang w:val="sr-Cyrl-CS"/>
        </w:rPr>
      </w:pPr>
      <w:r w:rsidRPr="000477C7">
        <w:rPr>
          <w:b/>
          <w:lang w:val="sr-Cyrl-CS"/>
        </w:rPr>
        <w:t>Преко 1.300 цм до 1.600 цм                     1.720 динара,</w:t>
      </w:r>
    </w:p>
    <w:p w:rsidR="000477C7" w:rsidRPr="000477C7" w:rsidRDefault="000477C7" w:rsidP="000477C7">
      <w:pPr>
        <w:numPr>
          <w:ilvl w:val="0"/>
          <w:numId w:val="1"/>
        </w:numPr>
        <w:rPr>
          <w:b/>
          <w:lang w:val="sr-Cyrl-CS"/>
        </w:rPr>
      </w:pPr>
      <w:r w:rsidRPr="000477C7">
        <w:rPr>
          <w:b/>
          <w:lang w:val="sr-Cyrl-CS"/>
        </w:rPr>
        <w:t>Преко 1.600 цм до 2.000 цм3                   2.300 динара,</w:t>
      </w:r>
    </w:p>
    <w:p w:rsidR="000477C7" w:rsidRPr="000477C7" w:rsidRDefault="000477C7" w:rsidP="000477C7">
      <w:pPr>
        <w:numPr>
          <w:ilvl w:val="0"/>
          <w:numId w:val="1"/>
        </w:numPr>
        <w:rPr>
          <w:b/>
          <w:lang w:val="sr-Cyrl-CS"/>
        </w:rPr>
      </w:pPr>
      <w:r w:rsidRPr="000477C7">
        <w:rPr>
          <w:b/>
          <w:lang w:val="sr-Cyrl-CS"/>
        </w:rPr>
        <w:t>Преко 2.000 цм3 до 3.000 цм3                 3.470 динара,</w:t>
      </w:r>
    </w:p>
    <w:p w:rsidR="000477C7" w:rsidRPr="000477C7" w:rsidRDefault="000477C7" w:rsidP="000477C7">
      <w:pPr>
        <w:numPr>
          <w:ilvl w:val="0"/>
          <w:numId w:val="1"/>
        </w:numPr>
        <w:rPr>
          <w:b/>
          <w:lang w:val="sr-Cyrl-CS"/>
        </w:rPr>
      </w:pPr>
      <w:r w:rsidRPr="000477C7">
        <w:rPr>
          <w:b/>
          <w:lang w:val="sr-Cyrl-CS"/>
        </w:rPr>
        <w:t>Преко 3.000 цм3 -                                         5.740 динара;</w:t>
      </w:r>
    </w:p>
    <w:p w:rsidR="000477C7" w:rsidRPr="000477C7" w:rsidRDefault="000477C7" w:rsidP="000477C7">
      <w:pPr>
        <w:rPr>
          <w:b/>
          <w:lang w:val="sr-Cyrl-CS"/>
        </w:rPr>
      </w:pPr>
    </w:p>
    <w:p w:rsidR="000477C7" w:rsidRPr="000477C7" w:rsidRDefault="000477C7" w:rsidP="000477C7">
      <w:pPr>
        <w:numPr>
          <w:ilvl w:val="0"/>
          <w:numId w:val="2"/>
        </w:numPr>
        <w:rPr>
          <w:b/>
          <w:lang w:val="sr-Cyrl-CS"/>
        </w:rPr>
      </w:pPr>
      <w:r w:rsidRPr="000477C7">
        <w:rPr>
          <w:b/>
          <w:lang w:val="sr-Cyrl-CS"/>
        </w:rPr>
        <w:t>За мотоцикле:</w:t>
      </w:r>
    </w:p>
    <w:p w:rsidR="000477C7" w:rsidRPr="000477C7" w:rsidRDefault="000477C7" w:rsidP="000477C7">
      <w:pPr>
        <w:numPr>
          <w:ilvl w:val="0"/>
          <w:numId w:val="1"/>
        </w:numPr>
        <w:rPr>
          <w:b/>
          <w:lang w:val="sr-Cyrl-CS"/>
        </w:rPr>
      </w:pPr>
      <w:r w:rsidRPr="000477C7">
        <w:rPr>
          <w:b/>
          <w:lang w:val="sr-Cyrl-CS"/>
        </w:rPr>
        <w:t>До 125 цм3                                                      460 динара,</w:t>
      </w:r>
    </w:p>
    <w:p w:rsidR="000477C7" w:rsidRPr="000477C7" w:rsidRDefault="000477C7" w:rsidP="000477C7">
      <w:pPr>
        <w:numPr>
          <w:ilvl w:val="0"/>
          <w:numId w:val="1"/>
        </w:numPr>
        <w:rPr>
          <w:b/>
          <w:lang w:val="sr-Cyrl-CS"/>
        </w:rPr>
      </w:pPr>
      <w:r w:rsidRPr="000477C7">
        <w:rPr>
          <w:b/>
          <w:lang w:val="sr-Cyrl-CS"/>
        </w:rPr>
        <w:t>Преко 125 цм3 до 250 цм3                          680 динара,</w:t>
      </w:r>
    </w:p>
    <w:p w:rsidR="000477C7" w:rsidRPr="000477C7" w:rsidRDefault="000477C7" w:rsidP="000477C7">
      <w:pPr>
        <w:numPr>
          <w:ilvl w:val="0"/>
          <w:numId w:val="1"/>
        </w:numPr>
        <w:rPr>
          <w:b/>
          <w:lang w:val="sr-Cyrl-CS"/>
        </w:rPr>
      </w:pPr>
      <w:r w:rsidRPr="000477C7">
        <w:rPr>
          <w:b/>
          <w:lang w:val="sr-Cyrl-CS"/>
        </w:rPr>
        <w:t>Преко 250 цм3 до 500 цм3                       1.140  динара,</w:t>
      </w:r>
    </w:p>
    <w:p w:rsidR="000477C7" w:rsidRPr="000477C7" w:rsidRDefault="000477C7" w:rsidP="000477C7">
      <w:pPr>
        <w:numPr>
          <w:ilvl w:val="0"/>
          <w:numId w:val="1"/>
        </w:numPr>
        <w:rPr>
          <w:b/>
          <w:lang w:val="sr-Cyrl-CS"/>
        </w:rPr>
      </w:pPr>
      <w:r w:rsidRPr="000477C7">
        <w:rPr>
          <w:b/>
          <w:lang w:val="sr-Cyrl-CS"/>
        </w:rPr>
        <w:t>Преко 500 цм3 до 1.200 цм3                   1.390  динара,</w:t>
      </w:r>
    </w:p>
    <w:p w:rsidR="000477C7" w:rsidRPr="000477C7" w:rsidRDefault="000477C7" w:rsidP="000477C7">
      <w:pPr>
        <w:numPr>
          <w:ilvl w:val="0"/>
          <w:numId w:val="1"/>
        </w:numPr>
        <w:rPr>
          <w:b/>
          <w:lang w:val="sr-Cyrl-CS"/>
        </w:rPr>
      </w:pPr>
      <w:r w:rsidRPr="000477C7">
        <w:rPr>
          <w:b/>
          <w:lang w:val="sr-Cyrl-CS"/>
        </w:rPr>
        <w:t>Преко 1.200 цм3                                          1.720  динара.</w:t>
      </w:r>
    </w:p>
    <w:p w:rsidR="000477C7" w:rsidRPr="000477C7" w:rsidRDefault="000477C7" w:rsidP="000477C7">
      <w:pPr>
        <w:rPr>
          <w:b/>
          <w:lang w:val="sr-Cyrl-CS"/>
        </w:rPr>
      </w:pPr>
    </w:p>
    <w:p w:rsidR="000477C7" w:rsidRPr="000477C7" w:rsidRDefault="000477C7" w:rsidP="000477C7">
      <w:pPr>
        <w:numPr>
          <w:ilvl w:val="0"/>
          <w:numId w:val="2"/>
        </w:numPr>
        <w:rPr>
          <w:b/>
          <w:lang w:val="sr-Cyrl-CS"/>
        </w:rPr>
      </w:pPr>
      <w:r w:rsidRPr="000477C7">
        <w:rPr>
          <w:b/>
          <w:lang w:val="sr-Cyrl-CS"/>
        </w:rPr>
        <w:t>За аутобусе и комби бусеве по регистрованом седишту  50 динара.</w:t>
      </w:r>
      <w:r w:rsidRPr="000477C7">
        <w:rPr>
          <w:b/>
          <w:lang w:val="sr-Cyrl-CS"/>
        </w:rPr>
        <w:tab/>
      </w:r>
    </w:p>
    <w:p w:rsidR="000477C7" w:rsidRPr="000477C7" w:rsidRDefault="000477C7" w:rsidP="000477C7">
      <w:pPr>
        <w:numPr>
          <w:ilvl w:val="0"/>
          <w:numId w:val="4"/>
        </w:numPr>
        <w:rPr>
          <w:b/>
          <w:lang w:val="sr-Cyrl-CS"/>
        </w:rPr>
      </w:pPr>
      <w:r w:rsidRPr="000477C7">
        <w:rPr>
          <w:b/>
          <w:lang w:val="sr-Cyrl-CS"/>
        </w:rPr>
        <w:t>За прикључна возила: теретне приколице, полуприколице и специјалне теретне приколице за превоз одређених врста терета:</w:t>
      </w:r>
    </w:p>
    <w:p w:rsidR="000477C7" w:rsidRPr="000477C7" w:rsidRDefault="000477C7" w:rsidP="000477C7">
      <w:pPr>
        <w:rPr>
          <w:b/>
          <w:lang w:val="sr-Cyrl-CS"/>
        </w:rPr>
      </w:pPr>
    </w:p>
    <w:p w:rsidR="000477C7" w:rsidRPr="000477C7" w:rsidRDefault="000477C7" w:rsidP="000477C7">
      <w:pPr>
        <w:rPr>
          <w:b/>
          <w:lang w:val="sr-Cyrl-CS"/>
        </w:rPr>
      </w:pPr>
      <w:r w:rsidRPr="000477C7">
        <w:rPr>
          <w:b/>
          <w:lang w:val="sr-Cyrl-CS"/>
        </w:rPr>
        <w:tab/>
        <w:t xml:space="preserve">     -  </w:t>
      </w:r>
      <w:r w:rsidRPr="000477C7">
        <w:rPr>
          <w:b/>
          <w:lang w:val="sr-Cyrl-CS"/>
        </w:rPr>
        <w:tab/>
        <w:t xml:space="preserve"> 1 т носивости -                               460 динара,</w:t>
      </w:r>
    </w:p>
    <w:p w:rsidR="000477C7" w:rsidRPr="000477C7" w:rsidRDefault="000477C7" w:rsidP="000477C7">
      <w:pPr>
        <w:rPr>
          <w:b/>
          <w:lang w:val="sr-Cyrl-CS"/>
        </w:rPr>
      </w:pPr>
      <w:r w:rsidRPr="000477C7">
        <w:rPr>
          <w:b/>
          <w:lang w:val="sr-Cyrl-CS"/>
        </w:rPr>
        <w:lastRenderedPageBreak/>
        <w:tab/>
        <w:t xml:space="preserve">     -  </w:t>
      </w:r>
      <w:r w:rsidRPr="000477C7">
        <w:rPr>
          <w:b/>
          <w:lang w:val="sr-Cyrl-CS"/>
        </w:rPr>
        <w:tab/>
        <w:t xml:space="preserve"> од 1 т до 5 т носивости -             800 динара,</w:t>
      </w:r>
    </w:p>
    <w:p w:rsidR="000477C7" w:rsidRPr="000477C7" w:rsidRDefault="000477C7" w:rsidP="000477C7">
      <w:pPr>
        <w:rPr>
          <w:b/>
          <w:lang w:val="sr-Cyrl-CS"/>
        </w:rPr>
      </w:pPr>
      <w:r w:rsidRPr="000477C7">
        <w:rPr>
          <w:b/>
          <w:lang w:val="sr-Cyrl-CS"/>
        </w:rPr>
        <w:tab/>
        <w:t xml:space="preserve">     - </w:t>
      </w:r>
      <w:r w:rsidRPr="000477C7">
        <w:rPr>
          <w:b/>
          <w:lang w:val="sr-Cyrl-CS"/>
        </w:rPr>
        <w:tab/>
        <w:t xml:space="preserve"> од 5 т до 10 т носивости -         1.090 динара,</w:t>
      </w:r>
    </w:p>
    <w:p w:rsidR="000477C7" w:rsidRPr="000477C7" w:rsidRDefault="000477C7" w:rsidP="000477C7">
      <w:pPr>
        <w:rPr>
          <w:b/>
          <w:lang w:val="sr-Cyrl-CS"/>
        </w:rPr>
      </w:pPr>
      <w:r w:rsidRPr="000477C7">
        <w:rPr>
          <w:b/>
          <w:lang w:val="sr-Cyrl-CS"/>
        </w:rPr>
        <w:tab/>
        <w:t xml:space="preserve">     - </w:t>
      </w:r>
      <w:r w:rsidRPr="000477C7">
        <w:rPr>
          <w:b/>
          <w:lang w:val="sr-Cyrl-CS"/>
        </w:rPr>
        <w:tab/>
        <w:t xml:space="preserve"> од 10 т до 12 т носивости -       1.500 динара,</w:t>
      </w:r>
    </w:p>
    <w:p w:rsidR="000477C7" w:rsidRPr="000477C7" w:rsidRDefault="000477C7" w:rsidP="000477C7">
      <w:pPr>
        <w:rPr>
          <w:b/>
          <w:lang w:val="sr-Cyrl-CS"/>
        </w:rPr>
      </w:pPr>
      <w:r w:rsidRPr="000477C7">
        <w:rPr>
          <w:b/>
          <w:lang w:val="sr-Cyrl-CS"/>
        </w:rPr>
        <w:tab/>
        <w:t xml:space="preserve">     -</w:t>
      </w:r>
      <w:r w:rsidRPr="000477C7">
        <w:rPr>
          <w:b/>
          <w:lang w:val="sr-Cyrl-CS"/>
        </w:rPr>
        <w:tab/>
        <w:t xml:space="preserve"> носивости преко 12 т -                  2.300 динара,</w:t>
      </w:r>
    </w:p>
    <w:p w:rsidR="000477C7" w:rsidRPr="000477C7" w:rsidRDefault="000477C7" w:rsidP="000477C7">
      <w:pPr>
        <w:rPr>
          <w:b/>
          <w:lang w:val="sr-Cyrl-CS"/>
        </w:rPr>
      </w:pPr>
    </w:p>
    <w:p w:rsidR="000477C7" w:rsidRPr="000477C7" w:rsidRDefault="000477C7" w:rsidP="000477C7">
      <w:pPr>
        <w:rPr>
          <w:b/>
          <w:lang w:val="sr-Cyrl-CS"/>
        </w:rPr>
      </w:pPr>
      <w:r w:rsidRPr="000477C7">
        <w:rPr>
          <w:b/>
          <w:lang w:val="sr-Cyrl-CS"/>
        </w:rPr>
        <w:tab/>
        <w:t xml:space="preserve">   7.</w:t>
      </w:r>
      <w:r w:rsidRPr="000477C7">
        <w:rPr>
          <w:b/>
          <w:lang w:val="sr-Cyrl-CS"/>
        </w:rPr>
        <w:tab/>
        <w:t xml:space="preserve"> За вучна возила (тегљаче):</w:t>
      </w:r>
    </w:p>
    <w:p w:rsidR="000477C7" w:rsidRPr="000477C7" w:rsidRDefault="000477C7" w:rsidP="000477C7">
      <w:pPr>
        <w:rPr>
          <w:b/>
          <w:lang w:val="sr-Cyrl-CS"/>
        </w:rPr>
      </w:pPr>
      <w:r w:rsidRPr="000477C7">
        <w:rPr>
          <w:b/>
          <w:lang w:val="sr-Cyrl-CS"/>
        </w:rPr>
        <w:tab/>
        <w:t xml:space="preserve">    - чија је снага мотора до 66 киловата -            1.720 динара,</w:t>
      </w:r>
    </w:p>
    <w:p w:rsidR="000477C7" w:rsidRPr="000477C7" w:rsidRDefault="000477C7" w:rsidP="000477C7">
      <w:pPr>
        <w:rPr>
          <w:b/>
          <w:lang w:val="sr-Cyrl-CS"/>
        </w:rPr>
      </w:pPr>
      <w:r w:rsidRPr="000477C7">
        <w:rPr>
          <w:b/>
          <w:lang w:val="sr-Cyrl-CS"/>
        </w:rPr>
        <w:tab/>
        <w:t xml:space="preserve">    - чија је снага мотора од 66-96 киловата -       2.300 динара,</w:t>
      </w:r>
    </w:p>
    <w:p w:rsidR="000477C7" w:rsidRPr="000477C7" w:rsidRDefault="000477C7" w:rsidP="000477C7">
      <w:pPr>
        <w:rPr>
          <w:b/>
          <w:lang w:val="sr-Cyrl-CS"/>
        </w:rPr>
      </w:pPr>
      <w:r w:rsidRPr="000477C7">
        <w:rPr>
          <w:b/>
          <w:lang w:val="sr-Cyrl-CS"/>
        </w:rPr>
        <w:tab/>
        <w:t xml:space="preserve">    - чија је снага мотора од 96-132 киловата -     2.900 динара,</w:t>
      </w:r>
    </w:p>
    <w:p w:rsidR="000477C7" w:rsidRPr="000477C7" w:rsidRDefault="000477C7" w:rsidP="000477C7">
      <w:pPr>
        <w:rPr>
          <w:b/>
          <w:lang w:val="sr-Cyrl-CS"/>
        </w:rPr>
      </w:pPr>
      <w:r w:rsidRPr="000477C7">
        <w:rPr>
          <w:b/>
          <w:lang w:val="sr-Cyrl-CS"/>
        </w:rPr>
        <w:tab/>
        <w:t xml:space="preserve">    - чија је снага мотора од 132-177 киловата -   3.470 динара,</w:t>
      </w:r>
    </w:p>
    <w:p w:rsidR="000477C7" w:rsidRPr="000477C7" w:rsidRDefault="000477C7" w:rsidP="000477C7">
      <w:pPr>
        <w:rPr>
          <w:b/>
          <w:lang w:val="sr-Cyrl-CS"/>
        </w:rPr>
      </w:pPr>
      <w:r w:rsidRPr="000477C7">
        <w:rPr>
          <w:b/>
          <w:lang w:val="sr-Cyrl-CS"/>
        </w:rPr>
        <w:tab/>
        <w:t xml:space="preserve">    - чија је снага мотора преко 177 киловата -    4.610 динара.</w:t>
      </w:r>
    </w:p>
    <w:p w:rsidR="000477C7" w:rsidRPr="000477C7" w:rsidRDefault="000477C7" w:rsidP="000477C7">
      <w:pPr>
        <w:rPr>
          <w:b/>
          <w:lang w:val="sr-Cyrl-CS"/>
        </w:rPr>
      </w:pPr>
    </w:p>
    <w:p w:rsidR="000477C7" w:rsidRPr="000477C7" w:rsidRDefault="000477C7" w:rsidP="000477C7">
      <w:pPr>
        <w:numPr>
          <w:ilvl w:val="0"/>
          <w:numId w:val="5"/>
        </w:numPr>
        <w:rPr>
          <w:b/>
          <w:lang w:val="sr-Cyrl-CS"/>
        </w:rPr>
      </w:pPr>
      <w:r w:rsidRPr="000477C7">
        <w:rPr>
          <w:b/>
          <w:lang w:val="sr-Cyrl-CS"/>
        </w:rPr>
        <w:t>За радна возила, специјална адаптирана возила за превоз реквизита за путујуће забаве, радње и атестирана специјализована возила за превоз пчела -                                 1.140 динара.</w:t>
      </w:r>
    </w:p>
    <w:p w:rsidR="000477C7" w:rsidRPr="000477C7" w:rsidRDefault="000477C7" w:rsidP="000477C7">
      <w:pPr>
        <w:rPr>
          <w:b/>
          <w:lang w:val="sr-Cyrl-CS"/>
        </w:rPr>
      </w:pPr>
    </w:p>
    <w:p w:rsidR="000477C7" w:rsidRPr="000477C7" w:rsidRDefault="000477C7" w:rsidP="000477C7">
      <w:pPr>
        <w:rPr>
          <w:b/>
        </w:rPr>
      </w:pPr>
    </w:p>
    <w:p w:rsidR="000477C7" w:rsidRPr="000477C7" w:rsidRDefault="000477C7" w:rsidP="000477C7">
      <w:pPr>
        <w:rPr>
          <w:b/>
          <w:lang w:val="sr-Cyrl-CS"/>
        </w:rPr>
      </w:pPr>
      <w:r w:rsidRPr="000477C7">
        <w:rPr>
          <w:b/>
          <w:lang w:val="sr-Cyrl-CS"/>
        </w:rPr>
        <w:t>НАПОМЕНА:</w:t>
      </w:r>
    </w:p>
    <w:p w:rsidR="000477C7" w:rsidRPr="000477C7" w:rsidRDefault="000477C7" w:rsidP="00EA1557">
      <w:pPr>
        <w:jc w:val="both"/>
        <w:rPr>
          <w:b/>
          <w:lang w:val="sr-Cyrl-CS"/>
        </w:rPr>
      </w:pPr>
      <w:r w:rsidRPr="000477C7">
        <w:rPr>
          <w:b/>
          <w:lang w:val="sr-Cyrl-CS"/>
        </w:rPr>
        <w:tab/>
        <w:t xml:space="preserve"> Такса по овом тарифном броју утврђује се у годишњем износу.</w:t>
      </w:r>
    </w:p>
    <w:p w:rsidR="000477C7" w:rsidRPr="000477C7" w:rsidRDefault="000477C7" w:rsidP="00EA1557">
      <w:pPr>
        <w:jc w:val="both"/>
        <w:rPr>
          <w:b/>
          <w:lang w:val="sr-Cyrl-CS"/>
        </w:rPr>
      </w:pPr>
      <w:r w:rsidRPr="000477C7">
        <w:rPr>
          <w:b/>
          <w:lang w:val="sr-Cyrl-CS"/>
        </w:rPr>
        <w:tab/>
        <w:t xml:space="preserve"> Такса по овом тарифном броју плаћа се приликом регистрације моторних, друмских и прикључних возила.</w:t>
      </w:r>
    </w:p>
    <w:p w:rsidR="000477C7" w:rsidRPr="000477C7" w:rsidRDefault="000477C7" w:rsidP="00EA1557">
      <w:pPr>
        <w:jc w:val="both"/>
        <w:rPr>
          <w:b/>
          <w:lang w:val="sr-Cyrl-CS"/>
        </w:rPr>
      </w:pPr>
      <w:r w:rsidRPr="000477C7">
        <w:rPr>
          <w:b/>
          <w:lang w:val="sr-Cyrl-CS"/>
        </w:rPr>
        <w:tab/>
        <w:t>Таксу из овог тарифног броја не плаћају државни органи и органи локалне самоуправе, организације и установе и Јавна предузећа за специјална возила, која су у непосредној функцији обављања комуналне делатности.</w:t>
      </w:r>
    </w:p>
    <w:p w:rsidR="000477C7" w:rsidRPr="000477C7" w:rsidRDefault="000477C7" w:rsidP="00EA1557">
      <w:pPr>
        <w:jc w:val="both"/>
        <w:rPr>
          <w:b/>
          <w:lang w:val="sr-Cyrl-CS"/>
        </w:rPr>
      </w:pPr>
      <w:r w:rsidRPr="000477C7">
        <w:rPr>
          <w:b/>
          <w:lang w:val="sr-Cyrl-CS"/>
        </w:rPr>
        <w:tab/>
        <w:t xml:space="preserve"> Такса из овог рарифног броја не плаћа се за путничка возила и друга превозна средства инвалидних и хендикепираних лица са 80%  и више телесног оштећења, ако им возило служи за личну употребу.</w:t>
      </w:r>
    </w:p>
    <w:p w:rsidR="000477C7" w:rsidRPr="000477C7" w:rsidRDefault="000477C7" w:rsidP="00EA1557">
      <w:pPr>
        <w:jc w:val="center"/>
        <w:rPr>
          <w:b/>
          <w:lang w:val="sr-Cyrl-CS"/>
        </w:rPr>
      </w:pPr>
      <w:r w:rsidRPr="000477C7">
        <w:rPr>
          <w:b/>
          <w:lang w:val="sr-Cyrl-CS"/>
        </w:rPr>
        <w:t>Тарифни број 3.</w:t>
      </w:r>
    </w:p>
    <w:p w:rsidR="000477C7" w:rsidRPr="000477C7" w:rsidRDefault="000477C7" w:rsidP="000477C7">
      <w:pPr>
        <w:rPr>
          <w:b/>
          <w:lang w:val="sr-Cyrl-CS"/>
        </w:rPr>
      </w:pPr>
    </w:p>
    <w:p w:rsidR="000477C7" w:rsidRPr="000477C7" w:rsidRDefault="000477C7" w:rsidP="00EA1557">
      <w:pPr>
        <w:jc w:val="both"/>
        <w:rPr>
          <w:b/>
          <w:lang w:val="sr-Cyrl-CS"/>
        </w:rPr>
      </w:pPr>
      <w:r w:rsidRPr="000477C7">
        <w:rPr>
          <w:b/>
          <w:lang w:val="sr-Cyrl-CS"/>
        </w:rPr>
        <w:lastRenderedPageBreak/>
        <w:t xml:space="preserve">       За држање средстава за игру («забавне игре»), утврђује се локална комунална такса и то:</w:t>
      </w:r>
    </w:p>
    <w:p w:rsidR="000477C7" w:rsidRPr="000477C7" w:rsidRDefault="000477C7" w:rsidP="00EA1557">
      <w:pPr>
        <w:jc w:val="both"/>
        <w:rPr>
          <w:b/>
          <w:lang w:val="sr-Cyrl-CS"/>
        </w:rPr>
      </w:pPr>
      <w:r w:rsidRPr="000477C7">
        <w:rPr>
          <w:b/>
          <w:lang w:val="sr-Cyrl-CS"/>
        </w:rPr>
        <w:t xml:space="preserve">           - по апарату за забавне игре ( компјутери, флипери, билијар, видео игре, стони фудбал и слично</w:t>
      </w:r>
      <w:r w:rsidRPr="000477C7">
        <w:rPr>
          <w:b/>
          <w:lang w:val="sr-Latn-CS"/>
        </w:rPr>
        <w:t xml:space="preserve"> </w:t>
      </w:r>
      <w:r w:rsidRPr="000477C7">
        <w:rPr>
          <w:b/>
          <w:lang w:val="sr-Cyrl-CS"/>
        </w:rPr>
        <w:t>).................................................................</w:t>
      </w:r>
      <w:r w:rsidRPr="000477C7">
        <w:rPr>
          <w:b/>
        </w:rPr>
        <w:t>3</w:t>
      </w:r>
      <w:r w:rsidRPr="000477C7">
        <w:rPr>
          <w:b/>
          <w:lang w:val="sr-Cyrl-CS"/>
        </w:rPr>
        <w:t>3 динара</w:t>
      </w:r>
    </w:p>
    <w:p w:rsidR="000477C7" w:rsidRPr="000477C7" w:rsidRDefault="000477C7" w:rsidP="00EA1557">
      <w:pPr>
        <w:jc w:val="both"/>
        <w:rPr>
          <w:b/>
          <w:lang w:val="sr-Cyrl-CS"/>
        </w:rPr>
      </w:pPr>
    </w:p>
    <w:p w:rsidR="000477C7" w:rsidRPr="000477C7" w:rsidRDefault="000477C7" w:rsidP="000477C7">
      <w:pPr>
        <w:rPr>
          <w:b/>
          <w:lang w:val="sr-Cyrl-CS"/>
        </w:rPr>
      </w:pPr>
      <w:r w:rsidRPr="000477C7">
        <w:rPr>
          <w:b/>
          <w:lang w:val="sr-Cyrl-CS"/>
        </w:rPr>
        <w:t>НАПОМЕНА:</w:t>
      </w:r>
    </w:p>
    <w:p w:rsidR="000477C7" w:rsidRPr="000477C7" w:rsidRDefault="000477C7" w:rsidP="00EA1557">
      <w:pPr>
        <w:jc w:val="both"/>
        <w:rPr>
          <w:b/>
          <w:lang w:val="sr-Cyrl-CS"/>
        </w:rPr>
      </w:pPr>
      <w:r w:rsidRPr="000477C7">
        <w:rPr>
          <w:b/>
          <w:lang w:val="sr-Cyrl-CS"/>
        </w:rPr>
        <w:tab/>
        <w:t xml:space="preserve"> Такса по овом тарифном броју утврђује се у дневном износу.</w:t>
      </w:r>
    </w:p>
    <w:p w:rsidR="000477C7" w:rsidRPr="000477C7" w:rsidRDefault="000477C7" w:rsidP="00EA1557">
      <w:pPr>
        <w:jc w:val="both"/>
        <w:rPr>
          <w:b/>
          <w:lang w:val="sr-Cyrl-CS"/>
        </w:rPr>
      </w:pPr>
      <w:r w:rsidRPr="000477C7">
        <w:rPr>
          <w:b/>
          <w:lang w:val="sr-Cyrl-CS"/>
        </w:rPr>
        <w:tab/>
        <w:t xml:space="preserve"> Обвезник таксе из овог тарифног броја, је правно или физичко лице које држи средства и апарате за забавне игре.</w:t>
      </w:r>
    </w:p>
    <w:p w:rsidR="000477C7" w:rsidRPr="000477C7" w:rsidRDefault="000477C7" w:rsidP="00EA1557">
      <w:pPr>
        <w:jc w:val="both"/>
        <w:rPr>
          <w:b/>
          <w:lang w:val="sr-Cyrl-CS"/>
        </w:rPr>
      </w:pPr>
      <w:r w:rsidRPr="000477C7">
        <w:rPr>
          <w:b/>
          <w:lang w:val="sr-Cyrl-CS"/>
        </w:rPr>
        <w:tab/>
        <w:t xml:space="preserve"> Таксени обвезник је дужан да пријави средства и апарате за забавне игре Општинској управи-Одељењу за локалну пореску администрацију,буџет и финансије пре почетка коришћења средстава за игру.</w:t>
      </w:r>
    </w:p>
    <w:p w:rsidR="000477C7" w:rsidRPr="000477C7" w:rsidRDefault="000477C7" w:rsidP="00EA1557">
      <w:pPr>
        <w:jc w:val="both"/>
        <w:rPr>
          <w:b/>
          <w:lang w:val="sr-Cyrl-CS"/>
        </w:rPr>
      </w:pPr>
      <w:r w:rsidRPr="000477C7">
        <w:rPr>
          <w:b/>
          <w:lang w:val="sr-Cyrl-CS"/>
        </w:rPr>
        <w:t xml:space="preserve">               Пријава садржи:</w:t>
      </w:r>
    </w:p>
    <w:p w:rsidR="000477C7" w:rsidRPr="000477C7" w:rsidRDefault="000477C7" w:rsidP="00EA1557">
      <w:pPr>
        <w:jc w:val="both"/>
        <w:rPr>
          <w:b/>
          <w:lang w:val="sr-Cyrl-CS"/>
        </w:rPr>
      </w:pPr>
      <w:r w:rsidRPr="000477C7">
        <w:rPr>
          <w:b/>
          <w:lang w:val="sr-Cyrl-CS"/>
        </w:rPr>
        <w:t xml:space="preserve">            - за правна лица: порески идентификациони број, матични број правног лица и текући рачун, тачну адресу седишта правног лица; адресу места држања апарата, врсту, марку, тип и серијски број апрата и датум почетка коришћења средстава за игру.</w:t>
      </w:r>
    </w:p>
    <w:p w:rsidR="000477C7" w:rsidRPr="000477C7" w:rsidRDefault="000477C7" w:rsidP="00EA1557">
      <w:pPr>
        <w:jc w:val="both"/>
        <w:rPr>
          <w:b/>
          <w:lang w:val="sr-Cyrl-CS"/>
        </w:rPr>
      </w:pPr>
      <w:r w:rsidRPr="000477C7">
        <w:rPr>
          <w:b/>
          <w:lang w:val="sr-Cyrl-CS"/>
        </w:rPr>
        <w:t xml:space="preserve">            - за физичка лица: порески идентификациони број, матични број, текући рачун, број личне карте и назив радње са тачном адресом, адресу места држања апарата, врсту, марку, тип и серијски број апарата и датум почетка коришћења средстава за игру.</w:t>
      </w:r>
    </w:p>
    <w:p w:rsidR="000477C7" w:rsidRPr="000477C7" w:rsidRDefault="000477C7" w:rsidP="00EA1557">
      <w:pPr>
        <w:jc w:val="both"/>
        <w:rPr>
          <w:b/>
          <w:lang w:val="sr-Cyrl-CS"/>
        </w:rPr>
      </w:pPr>
      <w:r w:rsidRPr="000477C7">
        <w:rPr>
          <w:b/>
          <w:lang w:val="sr-Cyrl-CS"/>
        </w:rPr>
        <w:tab/>
        <w:t xml:space="preserve"> Такса по овом тарифном броју плаћа се стазмерно времену коришћења, до 15-ог у месецу за претходни месец.</w:t>
      </w:r>
    </w:p>
    <w:p w:rsidR="000477C7" w:rsidRPr="000477C7" w:rsidRDefault="000477C7" w:rsidP="000477C7">
      <w:pPr>
        <w:rPr>
          <w:b/>
        </w:rPr>
      </w:pPr>
    </w:p>
    <w:p w:rsidR="000477C7" w:rsidRPr="000477C7" w:rsidRDefault="000477C7" w:rsidP="0017731D">
      <w:pPr>
        <w:rPr>
          <w:b/>
        </w:rPr>
      </w:pPr>
    </w:p>
    <w:p w:rsidR="00AE290F" w:rsidRDefault="00AE290F"/>
    <w:sectPr w:rsidR="00AE290F" w:rsidSect="007828D6">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C8F"/>
    <w:multiLevelType w:val="hybridMultilevel"/>
    <w:tmpl w:val="691A6172"/>
    <w:lvl w:ilvl="0" w:tplc="2488DD5A">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1A734F"/>
    <w:multiLevelType w:val="hybridMultilevel"/>
    <w:tmpl w:val="4C1C544E"/>
    <w:lvl w:ilvl="0" w:tplc="E3A6E3B6">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0758C7"/>
    <w:multiLevelType w:val="hybridMultilevel"/>
    <w:tmpl w:val="2D1A9C76"/>
    <w:lvl w:ilvl="0" w:tplc="E7346A66">
      <w:start w:val="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6C5B6F"/>
    <w:multiLevelType w:val="hybridMultilevel"/>
    <w:tmpl w:val="297C0712"/>
    <w:lvl w:ilvl="0" w:tplc="7FF2D306">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05793B"/>
    <w:multiLevelType w:val="hybridMultilevel"/>
    <w:tmpl w:val="70A03E58"/>
    <w:lvl w:ilvl="0" w:tplc="047424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45"/>
    <w:rsid w:val="000477C7"/>
    <w:rsid w:val="00127FB4"/>
    <w:rsid w:val="00155EEC"/>
    <w:rsid w:val="00172B4E"/>
    <w:rsid w:val="0017731D"/>
    <w:rsid w:val="001D4345"/>
    <w:rsid w:val="002C48CD"/>
    <w:rsid w:val="003B4C93"/>
    <w:rsid w:val="003C18F7"/>
    <w:rsid w:val="004D60E2"/>
    <w:rsid w:val="007828D6"/>
    <w:rsid w:val="00813037"/>
    <w:rsid w:val="00AA4067"/>
    <w:rsid w:val="00AE290F"/>
    <w:rsid w:val="00E746C4"/>
    <w:rsid w:val="00EA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46C4"/>
    <w:pPr>
      <w:spacing w:after="0" w:line="240" w:lineRule="auto"/>
    </w:pPr>
  </w:style>
  <w:style w:type="paragraph" w:styleId="BalloonText">
    <w:name w:val="Balloon Text"/>
    <w:basedOn w:val="Normal"/>
    <w:link w:val="BalloonTextChar"/>
    <w:uiPriority w:val="99"/>
    <w:semiHidden/>
    <w:unhideWhenUsed/>
    <w:rsid w:val="0078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46C4"/>
    <w:pPr>
      <w:spacing w:after="0" w:line="240" w:lineRule="auto"/>
    </w:pPr>
  </w:style>
  <w:style w:type="paragraph" w:styleId="BalloonText">
    <w:name w:val="Balloon Text"/>
    <w:basedOn w:val="Normal"/>
    <w:link w:val="BalloonTextChar"/>
    <w:uiPriority w:val="99"/>
    <w:semiHidden/>
    <w:unhideWhenUsed/>
    <w:rsid w:val="0078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cp:lastPrinted>2019-11-20T07:58:00Z</cp:lastPrinted>
  <dcterms:created xsi:type="dcterms:W3CDTF">2019-11-20T06:44:00Z</dcterms:created>
  <dcterms:modified xsi:type="dcterms:W3CDTF">2019-11-29T13:36:00Z</dcterms:modified>
</cp:coreProperties>
</file>